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A439F">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36"/>
          <w:szCs w:val="36"/>
          <w:highlight w:val="none"/>
          <w:lang w:val="en-US" w:eastAsia="zh-CN"/>
        </w:rPr>
      </w:pPr>
      <w:bookmarkStart w:id="0" w:name="_GoBack"/>
      <w:r>
        <w:rPr>
          <w:rFonts w:hint="eastAsia" w:ascii="方正小标宋简体" w:hAnsi="方正小标宋简体" w:eastAsia="方正小标宋简体" w:cs="方正小标宋简体"/>
          <w:sz w:val="36"/>
          <w:szCs w:val="36"/>
          <w:highlight w:val="none"/>
          <w:lang w:val="en-US" w:eastAsia="zh-CN"/>
        </w:rPr>
        <w:t>武汉市市级信息化运维项目预算标准</w:t>
      </w:r>
    </w:p>
    <w:bookmarkEnd w:id="0"/>
    <w:p w14:paraId="0B4F1D2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kern w:val="2"/>
          <w:sz w:val="32"/>
          <w:szCs w:val="32"/>
          <w:highlight w:val="none"/>
          <w:u w:val="none"/>
          <w:lang w:val="en-US" w:eastAsia="zh-CN" w:bidi="ar-SA"/>
        </w:rPr>
      </w:pPr>
      <w:r>
        <w:rPr>
          <w:rFonts w:hint="eastAsia" w:ascii="仿宋" w:hAnsi="仿宋" w:eastAsia="仿宋" w:cs="仿宋"/>
          <w:sz w:val="32"/>
          <w:szCs w:val="32"/>
          <w:highlight w:val="none"/>
          <w:lang w:val="en-US" w:eastAsia="zh-CN"/>
        </w:rPr>
        <w:t>信息化运维项目预算应按照厉行节约、从严从紧的原则编制。相关标准参照《湖北省省级信息化项目运行维护项目预算标准》测算。</w:t>
      </w:r>
    </w:p>
    <w:p w14:paraId="1AB7D7B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一、基础设施运维</w:t>
      </w:r>
    </w:p>
    <w:p w14:paraId="35191CC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(一)硬件运维</w:t>
      </w:r>
    </w:p>
    <w:p w14:paraId="0EF3F1E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(1)固定费率法：硬件运维费=设备采购费×费率</w:t>
      </w:r>
    </w:p>
    <w:p w14:paraId="354EC91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该费用包含驻场人员费用、设备损坏维修(更换)等全部费用。</w:t>
      </w:r>
    </w:p>
    <w:p w14:paraId="78A835C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硬件设备运维费率表</w:t>
      </w:r>
    </w:p>
    <w:tbl>
      <w:tblPr>
        <w:tblStyle w:val="4"/>
        <w:tblW w:w="7555" w:type="dxa"/>
        <w:jc w:val="center"/>
        <w:tblLayout w:type="fixed"/>
        <w:tblCellMar>
          <w:top w:w="0" w:type="dxa"/>
          <w:left w:w="10" w:type="dxa"/>
          <w:bottom w:w="0" w:type="dxa"/>
          <w:right w:w="10" w:type="dxa"/>
        </w:tblCellMar>
      </w:tblPr>
      <w:tblGrid>
        <w:gridCol w:w="1217"/>
        <w:gridCol w:w="3525"/>
        <w:gridCol w:w="2813"/>
      </w:tblGrid>
      <w:tr w14:paraId="32E65344">
        <w:trPr>
          <w:trHeight w:val="488" w:hRule="exact"/>
          <w:jc w:val="center"/>
        </w:trPr>
        <w:tc>
          <w:tcPr>
            <w:tcW w:w="1217" w:type="dxa"/>
            <w:tcBorders>
              <w:top w:val="single" w:color="auto" w:sz="4" w:space="0"/>
              <w:left w:val="single" w:color="auto" w:sz="4" w:space="0"/>
            </w:tcBorders>
            <w:shd w:val="clear" w:color="auto" w:fill="FFFFFF"/>
            <w:vAlign w:val="center"/>
          </w:tcPr>
          <w:p w14:paraId="361F1A3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序号</w:t>
            </w:r>
          </w:p>
        </w:tc>
        <w:tc>
          <w:tcPr>
            <w:tcW w:w="3525" w:type="dxa"/>
            <w:tcBorders>
              <w:top w:val="single" w:color="auto" w:sz="4" w:space="0"/>
              <w:left w:val="single" w:color="auto" w:sz="4" w:space="0"/>
            </w:tcBorders>
            <w:shd w:val="clear" w:color="auto" w:fill="FFFFFF"/>
            <w:vAlign w:val="center"/>
          </w:tcPr>
          <w:p w14:paraId="1FF9B61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设备使用年限</w:t>
            </w:r>
          </w:p>
        </w:tc>
        <w:tc>
          <w:tcPr>
            <w:tcW w:w="2813" w:type="dxa"/>
            <w:tcBorders>
              <w:top w:val="single" w:color="auto" w:sz="4" w:space="0"/>
              <w:left w:val="single" w:color="auto" w:sz="4" w:space="0"/>
              <w:right w:val="single" w:color="auto" w:sz="4" w:space="0"/>
            </w:tcBorders>
            <w:shd w:val="clear" w:color="auto" w:fill="FFFFFF"/>
            <w:vAlign w:val="center"/>
          </w:tcPr>
          <w:p w14:paraId="33F0FB6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费率</w:t>
            </w:r>
          </w:p>
        </w:tc>
      </w:tr>
      <w:tr w14:paraId="2E2A54AC">
        <w:trPr>
          <w:trHeight w:val="419" w:hRule="exact"/>
          <w:jc w:val="center"/>
        </w:trPr>
        <w:tc>
          <w:tcPr>
            <w:tcW w:w="1217" w:type="dxa"/>
            <w:tcBorders>
              <w:top w:val="single" w:color="auto" w:sz="4" w:space="0"/>
              <w:left w:val="single" w:color="auto" w:sz="4" w:space="0"/>
            </w:tcBorders>
            <w:shd w:val="clear" w:color="auto" w:fill="FFFFFF"/>
            <w:vAlign w:val="center"/>
          </w:tcPr>
          <w:p w14:paraId="2BD353A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3525" w:type="dxa"/>
            <w:tcBorders>
              <w:top w:val="single" w:color="auto" w:sz="4" w:space="0"/>
              <w:left w:val="single" w:color="auto" w:sz="4" w:space="0"/>
            </w:tcBorders>
            <w:shd w:val="clear" w:color="auto" w:fill="FFFFFF"/>
            <w:vAlign w:val="center"/>
          </w:tcPr>
          <w:p w14:paraId="42F95F5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en-US"/>
              </w:rPr>
              <w:t>3-5</w:t>
            </w:r>
            <w:r>
              <w:rPr>
                <w:rFonts w:hint="eastAsia" w:ascii="仿宋" w:hAnsi="仿宋" w:eastAsia="仿宋" w:cs="仿宋"/>
                <w:sz w:val="24"/>
                <w:szCs w:val="24"/>
                <w:highlight w:val="none"/>
                <w:lang w:val="en-US" w:eastAsia="zh-CN"/>
              </w:rPr>
              <w:t>年</w:t>
            </w:r>
          </w:p>
        </w:tc>
        <w:tc>
          <w:tcPr>
            <w:tcW w:w="2813" w:type="dxa"/>
            <w:tcBorders>
              <w:top w:val="single" w:color="auto" w:sz="4" w:space="0"/>
              <w:left w:val="single" w:color="auto" w:sz="4" w:space="0"/>
              <w:right w:val="single" w:color="auto" w:sz="4" w:space="0"/>
            </w:tcBorders>
            <w:shd w:val="clear" w:color="auto" w:fill="FFFFFF"/>
            <w:vAlign w:val="center"/>
          </w:tcPr>
          <w:p w14:paraId="494346E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w:t>
            </w:r>
          </w:p>
        </w:tc>
      </w:tr>
      <w:tr w14:paraId="52B42FD1">
        <w:trPr>
          <w:trHeight w:val="378" w:hRule="exact"/>
          <w:jc w:val="center"/>
        </w:trPr>
        <w:tc>
          <w:tcPr>
            <w:tcW w:w="1217" w:type="dxa"/>
            <w:tcBorders>
              <w:top w:val="single" w:color="auto" w:sz="4" w:space="0"/>
              <w:left w:val="single" w:color="auto" w:sz="4" w:space="0"/>
              <w:bottom w:val="single" w:color="auto" w:sz="4" w:space="0"/>
            </w:tcBorders>
            <w:shd w:val="clear" w:color="auto" w:fill="FFFFFF"/>
            <w:vAlign w:val="center"/>
          </w:tcPr>
          <w:p w14:paraId="1C647B4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3525" w:type="dxa"/>
            <w:tcBorders>
              <w:top w:val="single" w:color="auto" w:sz="4" w:space="0"/>
              <w:left w:val="single" w:color="auto" w:sz="4" w:space="0"/>
              <w:bottom w:val="single" w:color="auto" w:sz="4" w:space="0"/>
            </w:tcBorders>
            <w:shd w:val="clear" w:color="auto" w:fill="FFFFFF"/>
            <w:vAlign w:val="center"/>
          </w:tcPr>
          <w:p w14:paraId="25858A9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5年以上</w:t>
            </w:r>
          </w:p>
        </w:tc>
        <w:tc>
          <w:tcPr>
            <w:tcW w:w="2813" w:type="dxa"/>
            <w:tcBorders>
              <w:top w:val="single" w:color="auto" w:sz="4" w:space="0"/>
              <w:left w:val="single" w:color="auto" w:sz="4" w:space="0"/>
              <w:bottom w:val="single" w:color="auto" w:sz="4" w:space="0"/>
              <w:right w:val="single" w:color="auto" w:sz="4" w:space="0"/>
            </w:tcBorders>
            <w:shd w:val="clear" w:color="auto" w:fill="FFFFFF"/>
            <w:vAlign w:val="center"/>
          </w:tcPr>
          <w:p w14:paraId="70E016A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en-US"/>
              </w:rPr>
              <w:t>8.</w:t>
            </w:r>
            <w:r>
              <w:rPr>
                <w:rFonts w:hint="eastAsia" w:ascii="仿宋" w:hAnsi="仿宋" w:eastAsia="仿宋" w:cs="仿宋"/>
                <w:sz w:val="24"/>
                <w:szCs w:val="24"/>
                <w:highlight w:val="none"/>
                <w:lang w:val="en-US" w:eastAsia="zh-CN"/>
              </w:rPr>
              <w:t>5%</w:t>
            </w:r>
          </w:p>
        </w:tc>
      </w:tr>
    </w:tbl>
    <w:p w14:paraId="57B95C5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kern w:val="2"/>
          <w:sz w:val="32"/>
          <w:szCs w:val="32"/>
          <w:highlight w:val="none"/>
          <w:lang w:val="en-US" w:eastAsia="zh-CN" w:bidi="ar-SA"/>
        </w:rPr>
        <w:t>(2)</w:t>
      </w:r>
      <w:r>
        <w:rPr>
          <w:rFonts w:hint="eastAsia" w:ascii="仿宋" w:hAnsi="仿宋" w:eastAsia="仿宋" w:cs="仿宋"/>
          <w:b w:val="0"/>
          <w:bCs w:val="0"/>
          <w:sz w:val="32"/>
          <w:szCs w:val="32"/>
          <w:highlight w:val="none"/>
          <w:lang w:val="en-US" w:eastAsia="zh-CN"/>
        </w:rPr>
        <w:t>备品备件法：硬件运维费=运维人员费用+设备损坏维修费用(或者备品备件购置费用)</w:t>
      </w:r>
    </w:p>
    <w:p w14:paraId="06E6280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楷体" w:hAnsi="楷体" w:eastAsia="楷体" w:cs="楷体"/>
          <w:b w:val="0"/>
          <w:bCs w:val="0"/>
          <w:sz w:val="32"/>
          <w:szCs w:val="32"/>
          <w:highlight w:val="none"/>
          <w:lang w:val="en-US" w:eastAsia="zh-CN"/>
        </w:rPr>
      </w:pPr>
      <w:r>
        <w:rPr>
          <w:rFonts w:hint="eastAsia" w:ascii="仿宋" w:hAnsi="仿宋" w:eastAsia="仿宋" w:cs="仿宋"/>
          <w:sz w:val="32"/>
          <w:szCs w:val="32"/>
          <w:highlight w:val="none"/>
          <w:lang w:val="en-US" w:eastAsia="zh-CN"/>
        </w:rPr>
        <w:t>硬件设备运维费率是硬件设备维保费的上限标准，超过标准的按照设备购置类项目申报。</w:t>
      </w:r>
    </w:p>
    <w:p w14:paraId="5A03CA1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(二)基础软件运维</w:t>
      </w:r>
    </w:p>
    <w:p w14:paraId="5A32F04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操作系统、数据库、中间件、安全防护软件等产品软件运维，内容包括运行监控、定期巡检、性能优化、故障排除、补丁升级、安全加固、数据备份和恢复、资产管理、配置管理等。</w:t>
      </w:r>
    </w:p>
    <w:p w14:paraId="6897FFD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 w:hAnsi="仿宋" w:eastAsia="仿宋" w:cs="仿宋"/>
          <w:sz w:val="32"/>
          <w:szCs w:val="32"/>
          <w:highlight w:val="none"/>
          <w:lang w:val="en-US" w:eastAsia="zh-CN"/>
        </w:rPr>
        <w:t>基础软件运维费以各类软件产品</w:t>
      </w:r>
      <w:r>
        <w:rPr>
          <w:rFonts w:hint="eastAsia" w:ascii="仿宋" w:hAnsi="仿宋" w:eastAsia="仿宋" w:cs="仿宋"/>
          <w:b w:val="0"/>
          <w:bCs w:val="0"/>
          <w:sz w:val="32"/>
          <w:szCs w:val="32"/>
          <w:highlight w:val="none"/>
          <w:lang w:val="en-US" w:eastAsia="zh-CN"/>
        </w:rPr>
        <w:t>购置费</w:t>
      </w:r>
      <w:r>
        <w:rPr>
          <w:rFonts w:hint="eastAsia" w:ascii="仿宋" w:hAnsi="仿宋" w:eastAsia="仿宋" w:cs="仿宋"/>
          <w:sz w:val="32"/>
          <w:szCs w:val="32"/>
          <w:highlight w:val="none"/>
          <w:lang w:val="en-US" w:eastAsia="zh-CN"/>
        </w:rPr>
        <w:t>为取费基础，结合购置时间和运维工作量，按照</w:t>
      </w:r>
      <w:r>
        <w:rPr>
          <w:rFonts w:hint="eastAsia" w:ascii="仿宋" w:hAnsi="仿宋" w:eastAsia="仿宋" w:cs="仿宋"/>
          <w:b w:val="0"/>
          <w:bCs w:val="0"/>
          <w:sz w:val="32"/>
          <w:szCs w:val="32"/>
          <w:highlight w:val="none"/>
          <w:lang w:val="en-US" w:eastAsia="zh-CN"/>
        </w:rPr>
        <w:t>不超过5%的费率</w:t>
      </w:r>
      <w:r>
        <w:rPr>
          <w:rFonts w:hint="eastAsia" w:ascii="仿宋" w:hAnsi="仿宋" w:eastAsia="仿宋" w:cs="仿宋"/>
          <w:sz w:val="32"/>
          <w:szCs w:val="32"/>
          <w:highlight w:val="none"/>
          <w:lang w:val="en-US" w:eastAsia="zh-CN"/>
        </w:rPr>
        <w:t>计取。</w:t>
      </w:r>
    </w:p>
    <w:p w14:paraId="48CF631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二、应用(定制化)开发软件运维费</w:t>
      </w:r>
    </w:p>
    <w:p w14:paraId="4678E86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(一)非驻场服务</w:t>
      </w:r>
    </w:p>
    <w:p w14:paraId="5DB93C6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定制化开发软件运维的内容包括运行监控、定期巡检、调整优化、使用支持、故障排除、需求管理、备份和恢复、系统迁移、资产管理和配置管理等。定制化开发软件运维按照实际工作内容及工作量计算运维费用。定制化开发软件运维费应控制在软件</w:t>
      </w:r>
      <w:r>
        <w:rPr>
          <w:rFonts w:hint="eastAsia" w:ascii="仿宋" w:hAnsi="仿宋" w:eastAsia="仿宋" w:cs="仿宋"/>
          <w:b w:val="0"/>
          <w:bCs w:val="0"/>
          <w:sz w:val="32"/>
          <w:szCs w:val="32"/>
          <w:highlight w:val="none"/>
          <w:lang w:val="en-US" w:eastAsia="zh-CN"/>
        </w:rPr>
        <w:t>建设费的10%以内</w:t>
      </w:r>
      <w:r>
        <w:rPr>
          <w:rFonts w:hint="eastAsia" w:ascii="仿宋" w:hAnsi="仿宋" w:eastAsia="仿宋" w:cs="仿宋"/>
          <w:sz w:val="32"/>
          <w:szCs w:val="32"/>
          <w:highlight w:val="none"/>
          <w:lang w:val="en-US" w:eastAsia="zh-CN"/>
        </w:rPr>
        <w:t>，超过10%的按升级改造项目申报。</w:t>
      </w:r>
    </w:p>
    <w:p w14:paraId="1C886CE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定制化开发软件运维费=工作量×软件运维人工成本</w:t>
      </w:r>
    </w:p>
    <w:p w14:paraId="17E8281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软件运维人工成本(月度)=1.83万元/月</w:t>
      </w:r>
    </w:p>
    <w:p w14:paraId="67069C4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软件运维人工成本(年度)=22万元/年</w:t>
      </w:r>
    </w:p>
    <w:p w14:paraId="7B1B6CD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(二)驻场服务</w:t>
      </w:r>
    </w:p>
    <w:p w14:paraId="3463B69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需驻场服务的运维项目，须提供驻场服务的依据、往年合同，并描述驻场服务的工作内容及相应的工作量。驻场服务费按照实际驻场人员的人数计算。</w:t>
      </w:r>
    </w:p>
    <w:p w14:paraId="5D0B6B9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驻场服务费=运维人工成本×驻场人员人数×驻场时长</w:t>
      </w:r>
    </w:p>
    <w:p w14:paraId="7AC3D091">
      <w:pPr>
        <w:keepNext w:val="0"/>
        <w:keepLines w:val="0"/>
        <w:pageBreakBefore w:val="0"/>
        <w:widowControl w:val="0"/>
        <w:kinsoku/>
        <w:wordWrap/>
        <w:overflowPunct/>
        <w:topLinePunct w:val="0"/>
        <w:autoSpaceDE/>
        <w:autoSpaceDN/>
        <w:bidi w:val="0"/>
        <w:adjustRightInd/>
        <w:snapToGrid/>
        <w:spacing w:line="600" w:lineRule="exact"/>
        <w:ind w:right="-313" w:rightChars="-149" w:firstLine="640" w:firstLineChars="2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例如：驻场服务费按1人1年算不超过22×1×1=22万元</w:t>
      </w:r>
    </w:p>
    <w:p w14:paraId="36A4630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三、其他运维服务</w:t>
      </w:r>
    </w:p>
    <w:p w14:paraId="105B90A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楷体" w:hAnsi="楷体" w:eastAsia="楷体" w:cs="楷体"/>
          <w:sz w:val="32"/>
          <w:szCs w:val="32"/>
          <w:highlight w:val="none"/>
          <w:lang w:val="en-US" w:eastAsia="zh-CN"/>
        </w:rPr>
        <w:t>(一)短信服务费</w:t>
      </w:r>
      <w:r>
        <w:rPr>
          <w:rFonts w:hint="eastAsia" w:ascii="仿宋_GB2312" w:hAnsi="仿宋_GB2312" w:eastAsia="仿宋_GB2312" w:cs="仿宋_GB2312"/>
          <w:sz w:val="32"/>
          <w:szCs w:val="32"/>
          <w:highlight w:val="none"/>
          <w:lang w:val="en-US" w:eastAsia="zh-CN"/>
        </w:rPr>
        <w:t>:</w:t>
      </w:r>
      <w:r>
        <w:rPr>
          <w:rFonts w:hint="eastAsia" w:ascii="仿宋" w:hAnsi="仿宋" w:eastAsia="仿宋" w:cs="仿宋"/>
          <w:sz w:val="32"/>
          <w:szCs w:val="32"/>
          <w:highlight w:val="none"/>
          <w:lang w:val="en-US" w:eastAsia="zh-CN"/>
        </w:rPr>
        <w:t>以运营商资费为准。</w:t>
      </w:r>
    </w:p>
    <w:p w14:paraId="0C1D7A0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楷体" w:hAnsi="楷体" w:eastAsia="楷体" w:cs="楷体"/>
          <w:sz w:val="32"/>
          <w:szCs w:val="32"/>
          <w:highlight w:val="none"/>
          <w:lang w:val="en-US" w:eastAsia="zh-CN"/>
        </w:rPr>
        <w:t>(二)网络服务费</w:t>
      </w:r>
      <w:r>
        <w:rPr>
          <w:rFonts w:hint="eastAsia" w:ascii="仿宋_GB2312" w:hAnsi="仿宋_GB2312" w:eastAsia="仿宋_GB2312" w:cs="仿宋_GB2312"/>
          <w:sz w:val="32"/>
          <w:szCs w:val="32"/>
          <w:highlight w:val="none"/>
          <w:lang w:val="en-US" w:eastAsia="zh-CN"/>
        </w:rPr>
        <w:t>:</w:t>
      </w:r>
      <w:r>
        <w:rPr>
          <w:rFonts w:hint="eastAsia" w:ascii="仿宋" w:hAnsi="仿宋" w:eastAsia="仿宋" w:cs="仿宋"/>
          <w:sz w:val="32"/>
          <w:szCs w:val="32"/>
          <w:highlight w:val="none"/>
          <w:lang w:val="en-US" w:eastAsia="zh-CN"/>
        </w:rPr>
        <w:t>以运营商网络租赁费为准。</w:t>
      </w:r>
    </w:p>
    <w:p w14:paraId="46F3C02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 w:hAnsi="楷体" w:eastAsia="楷体" w:cs="楷体"/>
          <w:sz w:val="32"/>
          <w:szCs w:val="32"/>
          <w:highlight w:val="none"/>
          <w:lang w:val="en-US" w:eastAsia="zh-CN"/>
        </w:rPr>
        <w:t>(三)安全测评费：</w:t>
      </w:r>
    </w:p>
    <w:p w14:paraId="190BEF5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w:t>
      </w:r>
      <w:r>
        <w:rPr>
          <w:rFonts w:hint="eastAsia" w:ascii="仿宋" w:hAnsi="仿宋" w:eastAsia="仿宋" w:cs="仿宋"/>
          <w:b w:val="0"/>
          <w:bCs w:val="0"/>
          <w:sz w:val="32"/>
          <w:szCs w:val="32"/>
          <w:highlight w:val="none"/>
          <w:lang w:val="en-US" w:eastAsia="zh-CN"/>
        </w:rPr>
        <w:t>等级保护测评费以系统为单位计费，</w:t>
      </w:r>
      <w:r>
        <w:rPr>
          <w:rFonts w:hint="eastAsia" w:ascii="仿宋" w:hAnsi="仿宋" w:eastAsia="仿宋" w:cs="仿宋"/>
          <w:sz w:val="32"/>
          <w:szCs w:val="32"/>
          <w:highlight w:val="none"/>
          <w:lang w:val="en-US" w:eastAsia="zh-CN"/>
        </w:rPr>
        <w:t>若项目单位有多个存量系统，应对存量系统进行整合，统筹安排等级保护测评工作。</w:t>
      </w:r>
    </w:p>
    <w:p w14:paraId="473FF50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等级保护测评费=∑系统个数</w:t>
      </w:r>
      <w:r>
        <w:rPr>
          <w:rFonts w:hint="eastAsia" w:ascii="仿宋" w:hAnsi="仿宋" w:eastAsia="仿宋" w:cs="仿宋"/>
          <w:b w:val="0"/>
          <w:bCs w:val="0"/>
          <w:sz w:val="32"/>
          <w:szCs w:val="32"/>
          <w:highlight w:val="none"/>
          <w:lang w:val="en-US" w:eastAsia="zh-CN"/>
        </w:rPr>
        <w:t>×</w:t>
      </w:r>
      <w:r>
        <w:rPr>
          <w:rFonts w:hint="eastAsia" w:ascii="仿宋" w:hAnsi="仿宋" w:eastAsia="仿宋" w:cs="仿宋"/>
          <w:sz w:val="32"/>
          <w:szCs w:val="32"/>
          <w:highlight w:val="none"/>
          <w:lang w:val="en-US" w:eastAsia="zh-CN"/>
        </w:rPr>
        <w:t>收费基数</w:t>
      </w:r>
      <w:r>
        <w:rPr>
          <w:rFonts w:hint="eastAsia" w:ascii="仿宋" w:hAnsi="仿宋" w:eastAsia="仿宋" w:cs="仿宋"/>
          <w:b w:val="0"/>
          <w:bCs w:val="0"/>
          <w:sz w:val="32"/>
          <w:szCs w:val="32"/>
          <w:highlight w:val="none"/>
          <w:lang w:val="en-US" w:eastAsia="zh-CN"/>
        </w:rPr>
        <w:t>×</w:t>
      </w:r>
      <w:r>
        <w:rPr>
          <w:rFonts w:hint="eastAsia" w:ascii="仿宋" w:hAnsi="仿宋" w:eastAsia="仿宋" w:cs="仿宋"/>
          <w:sz w:val="32"/>
          <w:szCs w:val="32"/>
          <w:highlight w:val="none"/>
          <w:lang w:val="en-US" w:eastAsia="zh-CN"/>
        </w:rPr>
        <w:t>调整系数</w:t>
      </w:r>
    </w:p>
    <w:p w14:paraId="27D8034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等级保护测评费按以下费率计取：</w:t>
      </w:r>
    </w:p>
    <w:p w14:paraId="03EA1C1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等级保护测评费用计价表</w:t>
      </w:r>
    </w:p>
    <w:tbl>
      <w:tblPr>
        <w:tblStyle w:val="4"/>
        <w:tblW w:w="7845" w:type="dxa"/>
        <w:jc w:val="center"/>
        <w:tblLayout w:type="fixed"/>
        <w:tblCellMar>
          <w:top w:w="0" w:type="dxa"/>
          <w:left w:w="10" w:type="dxa"/>
          <w:bottom w:w="0" w:type="dxa"/>
          <w:right w:w="10" w:type="dxa"/>
        </w:tblCellMar>
      </w:tblPr>
      <w:tblGrid>
        <w:gridCol w:w="2052"/>
        <w:gridCol w:w="1453"/>
        <w:gridCol w:w="908"/>
        <w:gridCol w:w="1140"/>
        <w:gridCol w:w="1116"/>
        <w:gridCol w:w="1176"/>
      </w:tblGrid>
      <w:tr w14:paraId="25BE158C">
        <w:trPr>
          <w:trHeight w:val="113" w:hRule="atLeast"/>
          <w:jc w:val="center"/>
        </w:trPr>
        <w:tc>
          <w:tcPr>
            <w:tcW w:w="2052" w:type="dxa"/>
            <w:vMerge w:val="restart"/>
            <w:tcBorders>
              <w:top w:val="single" w:color="auto" w:sz="4" w:space="0"/>
              <w:left w:val="single" w:color="auto" w:sz="4" w:space="0"/>
            </w:tcBorders>
            <w:shd w:val="clear" w:color="auto" w:fill="FFFFFF"/>
            <w:vAlign w:val="center"/>
          </w:tcPr>
          <w:p w14:paraId="53B6EE8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信息系统等级</w:t>
            </w:r>
          </w:p>
        </w:tc>
        <w:tc>
          <w:tcPr>
            <w:tcW w:w="1453" w:type="dxa"/>
            <w:vMerge w:val="restart"/>
            <w:tcBorders>
              <w:top w:val="single" w:color="auto" w:sz="4" w:space="0"/>
              <w:left w:val="single" w:color="auto" w:sz="4" w:space="0"/>
            </w:tcBorders>
            <w:shd w:val="clear" w:color="auto" w:fill="FFFFFF"/>
            <w:vAlign w:val="center"/>
          </w:tcPr>
          <w:p w14:paraId="315182B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收费基数</w:t>
            </w:r>
          </w:p>
          <w:p w14:paraId="3B91D22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(万元)</w:t>
            </w:r>
          </w:p>
        </w:tc>
        <w:tc>
          <w:tcPr>
            <w:tcW w:w="4340" w:type="dxa"/>
            <w:gridSpan w:val="4"/>
            <w:tcBorders>
              <w:top w:val="single" w:color="auto" w:sz="4" w:space="0"/>
              <w:left w:val="single" w:color="auto" w:sz="4" w:space="0"/>
              <w:right w:val="single" w:color="auto" w:sz="4" w:space="0"/>
            </w:tcBorders>
            <w:shd w:val="clear" w:color="auto" w:fill="FFFFFF"/>
            <w:vAlign w:val="center"/>
          </w:tcPr>
          <w:p w14:paraId="107CDE8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调整系数(系统个数)</w:t>
            </w:r>
          </w:p>
        </w:tc>
      </w:tr>
      <w:tr w14:paraId="3C4DE584">
        <w:trPr>
          <w:trHeight w:val="431" w:hRule="atLeast"/>
          <w:jc w:val="center"/>
        </w:trPr>
        <w:tc>
          <w:tcPr>
            <w:tcW w:w="2052" w:type="dxa"/>
            <w:vMerge w:val="continue"/>
            <w:tcBorders>
              <w:left w:val="single" w:color="auto" w:sz="4" w:space="0"/>
            </w:tcBorders>
            <w:shd w:val="clear" w:color="auto" w:fill="FFFFFF"/>
            <w:vAlign w:val="center"/>
          </w:tcPr>
          <w:p w14:paraId="031A54D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1453" w:type="dxa"/>
            <w:vMerge w:val="continue"/>
            <w:tcBorders>
              <w:left w:val="single" w:color="auto" w:sz="4" w:space="0"/>
            </w:tcBorders>
            <w:shd w:val="clear" w:color="auto" w:fill="FFFFFF"/>
            <w:vAlign w:val="center"/>
          </w:tcPr>
          <w:p w14:paraId="15FFF1E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908" w:type="dxa"/>
            <w:tcBorders>
              <w:top w:val="single" w:color="auto" w:sz="4" w:space="0"/>
              <w:left w:val="single" w:color="auto" w:sz="4" w:space="0"/>
            </w:tcBorders>
            <w:shd w:val="clear" w:color="auto" w:fill="FFFFFF"/>
            <w:vAlign w:val="center"/>
          </w:tcPr>
          <w:p w14:paraId="5A1EF48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5-10</w:t>
            </w:r>
          </w:p>
        </w:tc>
        <w:tc>
          <w:tcPr>
            <w:tcW w:w="1140" w:type="dxa"/>
            <w:tcBorders>
              <w:top w:val="single" w:color="auto" w:sz="4" w:space="0"/>
              <w:left w:val="single" w:color="auto" w:sz="4" w:space="0"/>
            </w:tcBorders>
            <w:shd w:val="clear" w:color="auto" w:fill="FFFFFF"/>
            <w:vAlign w:val="center"/>
          </w:tcPr>
          <w:p w14:paraId="3A801A1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11-30</w:t>
            </w:r>
          </w:p>
        </w:tc>
        <w:tc>
          <w:tcPr>
            <w:tcW w:w="1116" w:type="dxa"/>
            <w:tcBorders>
              <w:top w:val="single" w:color="auto" w:sz="4" w:space="0"/>
              <w:left w:val="single" w:color="auto" w:sz="4" w:space="0"/>
            </w:tcBorders>
            <w:shd w:val="clear" w:color="auto" w:fill="FFFFFF"/>
            <w:vAlign w:val="center"/>
          </w:tcPr>
          <w:p w14:paraId="5AF0798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31-50</w:t>
            </w:r>
          </w:p>
        </w:tc>
        <w:tc>
          <w:tcPr>
            <w:tcW w:w="1176" w:type="dxa"/>
            <w:tcBorders>
              <w:top w:val="single" w:color="auto" w:sz="4" w:space="0"/>
              <w:left w:val="single" w:color="auto" w:sz="4" w:space="0"/>
              <w:right w:val="single" w:color="auto" w:sz="4" w:space="0"/>
            </w:tcBorders>
            <w:shd w:val="clear" w:color="auto" w:fill="FFFFFF"/>
            <w:vAlign w:val="center"/>
          </w:tcPr>
          <w:p w14:paraId="1BA9DCE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50以上</w:t>
            </w:r>
          </w:p>
        </w:tc>
      </w:tr>
      <w:tr w14:paraId="334B88D5">
        <w:trPr>
          <w:trHeight w:val="366" w:hRule="atLeast"/>
          <w:jc w:val="center"/>
        </w:trPr>
        <w:tc>
          <w:tcPr>
            <w:tcW w:w="2052" w:type="dxa"/>
            <w:tcBorders>
              <w:top w:val="single" w:color="auto" w:sz="4" w:space="0"/>
              <w:left w:val="single" w:color="auto" w:sz="4" w:space="0"/>
              <w:bottom w:val="single" w:color="auto" w:sz="4" w:space="0"/>
            </w:tcBorders>
            <w:shd w:val="clear" w:color="auto" w:fill="FFFFFF"/>
            <w:vAlign w:val="center"/>
          </w:tcPr>
          <w:p w14:paraId="5B1DAB8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二级</w:t>
            </w:r>
          </w:p>
        </w:tc>
        <w:tc>
          <w:tcPr>
            <w:tcW w:w="1453" w:type="dxa"/>
            <w:tcBorders>
              <w:top w:val="single" w:color="auto" w:sz="4" w:space="0"/>
              <w:left w:val="single" w:color="auto" w:sz="4" w:space="0"/>
              <w:bottom w:val="single" w:color="auto" w:sz="4" w:space="0"/>
            </w:tcBorders>
            <w:shd w:val="clear" w:color="auto" w:fill="FFFFFF"/>
            <w:vAlign w:val="center"/>
          </w:tcPr>
          <w:p w14:paraId="1F644C5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908" w:type="dxa"/>
            <w:vMerge w:val="restart"/>
            <w:tcBorders>
              <w:top w:val="single" w:color="auto" w:sz="4" w:space="0"/>
              <w:left w:val="single" w:color="auto" w:sz="4" w:space="0"/>
            </w:tcBorders>
            <w:shd w:val="clear" w:color="auto" w:fill="FFFFFF"/>
            <w:vAlign w:val="center"/>
          </w:tcPr>
          <w:p w14:paraId="22AF6BC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0.85</w:t>
            </w:r>
          </w:p>
        </w:tc>
        <w:tc>
          <w:tcPr>
            <w:tcW w:w="1140" w:type="dxa"/>
            <w:vMerge w:val="restart"/>
            <w:tcBorders>
              <w:top w:val="single" w:color="auto" w:sz="4" w:space="0"/>
              <w:left w:val="single" w:color="auto" w:sz="4" w:space="0"/>
            </w:tcBorders>
            <w:shd w:val="clear" w:color="auto" w:fill="FFFFFF"/>
            <w:vAlign w:val="center"/>
          </w:tcPr>
          <w:p w14:paraId="46BCEB3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0.75</w:t>
            </w:r>
          </w:p>
        </w:tc>
        <w:tc>
          <w:tcPr>
            <w:tcW w:w="1116" w:type="dxa"/>
            <w:vMerge w:val="restart"/>
            <w:tcBorders>
              <w:top w:val="single" w:color="auto" w:sz="4" w:space="0"/>
              <w:left w:val="single" w:color="auto" w:sz="4" w:space="0"/>
            </w:tcBorders>
            <w:shd w:val="clear" w:color="auto" w:fill="FFFFFF"/>
            <w:vAlign w:val="center"/>
          </w:tcPr>
          <w:p w14:paraId="284F1ED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0.65</w:t>
            </w:r>
          </w:p>
        </w:tc>
        <w:tc>
          <w:tcPr>
            <w:tcW w:w="1176" w:type="dxa"/>
            <w:vMerge w:val="restart"/>
            <w:tcBorders>
              <w:top w:val="single" w:color="auto" w:sz="4" w:space="0"/>
              <w:left w:val="single" w:color="auto" w:sz="4" w:space="0"/>
              <w:right w:val="single" w:color="auto" w:sz="4" w:space="0"/>
            </w:tcBorders>
            <w:shd w:val="clear" w:color="auto" w:fill="FFFFFF"/>
            <w:vAlign w:val="center"/>
          </w:tcPr>
          <w:p w14:paraId="7DA9EE4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0.6</w:t>
            </w:r>
          </w:p>
        </w:tc>
      </w:tr>
      <w:tr w14:paraId="7C4659BD">
        <w:trPr>
          <w:trHeight w:val="294" w:hRule="atLeast"/>
          <w:jc w:val="center"/>
        </w:trPr>
        <w:tc>
          <w:tcPr>
            <w:tcW w:w="2052" w:type="dxa"/>
            <w:tcBorders>
              <w:top w:val="single" w:color="auto" w:sz="4" w:space="0"/>
              <w:left w:val="single" w:color="auto" w:sz="4" w:space="0"/>
              <w:bottom w:val="single" w:color="auto" w:sz="4" w:space="0"/>
            </w:tcBorders>
            <w:shd w:val="clear" w:color="auto" w:fill="FFFFFF"/>
            <w:vAlign w:val="center"/>
          </w:tcPr>
          <w:p w14:paraId="14896E6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三级</w:t>
            </w:r>
          </w:p>
        </w:tc>
        <w:tc>
          <w:tcPr>
            <w:tcW w:w="1453" w:type="dxa"/>
            <w:tcBorders>
              <w:top w:val="single" w:color="auto" w:sz="4" w:space="0"/>
              <w:left w:val="single" w:color="auto" w:sz="4" w:space="0"/>
              <w:bottom w:val="single" w:color="auto" w:sz="4" w:space="0"/>
            </w:tcBorders>
            <w:shd w:val="clear" w:color="auto" w:fill="FFFFFF"/>
            <w:vAlign w:val="center"/>
          </w:tcPr>
          <w:p w14:paraId="5FEC487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908" w:type="dxa"/>
            <w:vMerge w:val="continue"/>
            <w:tcBorders>
              <w:left w:val="single" w:color="auto" w:sz="4" w:space="0"/>
              <w:bottom w:val="single" w:color="auto" w:sz="4" w:space="0"/>
            </w:tcBorders>
            <w:shd w:val="clear" w:color="auto" w:fill="FFFFFF"/>
            <w:vAlign w:val="center"/>
          </w:tcPr>
          <w:p w14:paraId="1E8A163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1140" w:type="dxa"/>
            <w:vMerge w:val="continue"/>
            <w:tcBorders>
              <w:left w:val="single" w:color="auto" w:sz="4" w:space="0"/>
              <w:bottom w:val="single" w:color="auto" w:sz="4" w:space="0"/>
            </w:tcBorders>
            <w:shd w:val="clear" w:color="auto" w:fill="FFFFFF"/>
            <w:vAlign w:val="center"/>
          </w:tcPr>
          <w:p w14:paraId="6B61859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1116" w:type="dxa"/>
            <w:vMerge w:val="continue"/>
            <w:tcBorders>
              <w:left w:val="single" w:color="auto" w:sz="4" w:space="0"/>
              <w:bottom w:val="single" w:color="auto" w:sz="4" w:space="0"/>
            </w:tcBorders>
            <w:shd w:val="clear" w:color="auto" w:fill="FFFFFF"/>
            <w:vAlign w:val="center"/>
          </w:tcPr>
          <w:p w14:paraId="7BBA47B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1176" w:type="dxa"/>
            <w:vMerge w:val="continue"/>
            <w:tcBorders>
              <w:left w:val="single" w:color="auto" w:sz="4" w:space="0"/>
              <w:bottom w:val="single" w:color="auto" w:sz="4" w:space="0"/>
              <w:right w:val="single" w:color="auto" w:sz="4" w:space="0"/>
            </w:tcBorders>
            <w:shd w:val="clear" w:color="auto" w:fill="FFFFFF"/>
            <w:vAlign w:val="center"/>
          </w:tcPr>
          <w:p w14:paraId="1B5397D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en-US"/>
              </w:rPr>
            </w:pPr>
          </w:p>
        </w:tc>
      </w:tr>
      <w:tr w14:paraId="33E27D59">
        <w:trPr>
          <w:trHeight w:val="438" w:hRule="atLeast"/>
          <w:jc w:val="center"/>
        </w:trPr>
        <w:tc>
          <w:tcPr>
            <w:tcW w:w="2052" w:type="dxa"/>
            <w:tcBorders>
              <w:top w:val="single" w:color="auto" w:sz="4" w:space="0"/>
              <w:left w:val="single" w:color="auto" w:sz="4" w:space="0"/>
              <w:bottom w:val="single" w:color="auto" w:sz="4" w:space="0"/>
            </w:tcBorders>
            <w:shd w:val="clear" w:color="auto" w:fill="FFFFFF"/>
            <w:vAlign w:val="center"/>
          </w:tcPr>
          <w:p w14:paraId="115E9B4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四级</w:t>
            </w:r>
          </w:p>
        </w:tc>
        <w:tc>
          <w:tcPr>
            <w:tcW w:w="1453" w:type="dxa"/>
            <w:tcBorders>
              <w:top w:val="single" w:color="auto" w:sz="4" w:space="0"/>
              <w:left w:val="single" w:color="auto" w:sz="4" w:space="0"/>
              <w:bottom w:val="single" w:color="auto" w:sz="4" w:space="0"/>
            </w:tcBorders>
            <w:shd w:val="clear" w:color="auto" w:fill="FFFFFF"/>
            <w:vAlign w:val="center"/>
          </w:tcPr>
          <w:p w14:paraId="7E6E113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根据实际情况核定</w:t>
            </w:r>
          </w:p>
        </w:tc>
        <w:tc>
          <w:tcPr>
            <w:tcW w:w="908" w:type="dxa"/>
            <w:tcBorders>
              <w:top w:val="single" w:color="auto" w:sz="4" w:space="0"/>
              <w:left w:val="single" w:color="auto" w:sz="4" w:space="0"/>
              <w:bottom w:val="single" w:color="auto" w:sz="4" w:space="0"/>
            </w:tcBorders>
            <w:shd w:val="clear" w:color="auto" w:fill="FFFFFF"/>
            <w:vAlign w:val="center"/>
          </w:tcPr>
          <w:p w14:paraId="0CD85F0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1140" w:type="dxa"/>
            <w:tcBorders>
              <w:top w:val="single" w:color="auto" w:sz="4" w:space="0"/>
              <w:left w:val="single" w:color="auto" w:sz="4" w:space="0"/>
              <w:bottom w:val="single" w:color="auto" w:sz="4" w:space="0"/>
            </w:tcBorders>
            <w:shd w:val="clear" w:color="auto" w:fill="FFFFFF"/>
            <w:vAlign w:val="center"/>
          </w:tcPr>
          <w:p w14:paraId="32F4604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1116" w:type="dxa"/>
            <w:tcBorders>
              <w:top w:val="single" w:color="auto" w:sz="4" w:space="0"/>
              <w:left w:val="single" w:color="auto" w:sz="4" w:space="0"/>
              <w:bottom w:val="single" w:color="auto" w:sz="4" w:space="0"/>
            </w:tcBorders>
            <w:shd w:val="clear" w:color="auto" w:fill="FFFFFF"/>
            <w:vAlign w:val="center"/>
          </w:tcPr>
          <w:p w14:paraId="3390E7E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1176" w:type="dxa"/>
            <w:tcBorders>
              <w:top w:val="single" w:color="auto" w:sz="4" w:space="0"/>
              <w:left w:val="single" w:color="auto" w:sz="4" w:space="0"/>
              <w:bottom w:val="single" w:color="auto" w:sz="4" w:space="0"/>
              <w:right w:val="single" w:color="auto" w:sz="4" w:space="0"/>
            </w:tcBorders>
            <w:shd w:val="clear" w:color="auto" w:fill="FFFFFF"/>
            <w:vAlign w:val="center"/>
          </w:tcPr>
          <w:p w14:paraId="7CCF686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en-US"/>
              </w:rPr>
            </w:pPr>
          </w:p>
        </w:tc>
      </w:tr>
    </w:tbl>
    <w:p w14:paraId="25643579">
      <w:pPr>
        <w:keepNext w:val="0"/>
        <w:keepLines w:val="0"/>
        <w:pageBreakBefore w:val="0"/>
        <w:widowControl w:val="0"/>
        <w:kinsoku/>
        <w:wordWrap/>
        <w:overflowPunct/>
        <w:topLinePunct w:val="0"/>
        <w:autoSpaceDE/>
        <w:autoSpaceDN/>
        <w:bidi w:val="0"/>
        <w:adjustRightInd/>
        <w:snapToGrid/>
        <w:spacing w:line="360" w:lineRule="exact"/>
        <w:ind w:left="218" w:leftChars="104" w:firstLine="50" w:firstLineChars="21"/>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注：调整系数(系统个数)是项目单位需要执行等级保护测评工作的系统数量</w:t>
      </w:r>
    </w:p>
    <w:p w14:paraId="69CF44F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(2)商用密码应用安</w:t>
      </w:r>
      <w:r>
        <w:rPr>
          <w:rFonts w:hint="eastAsia" w:ascii="仿宋" w:hAnsi="仿宋" w:eastAsia="仿宋" w:cs="仿宋"/>
          <w:b w:val="0"/>
          <w:bCs w:val="0"/>
          <w:sz w:val="32"/>
          <w:szCs w:val="32"/>
          <w:highlight w:val="none"/>
          <w:lang w:val="en-US" w:eastAsia="zh-CN"/>
        </w:rPr>
        <w:t>全性评估费以系统为单位计费，</w:t>
      </w:r>
      <w:r>
        <w:rPr>
          <w:rFonts w:hint="eastAsia" w:ascii="仿宋" w:hAnsi="仿宋" w:eastAsia="仿宋" w:cs="仿宋"/>
          <w:sz w:val="32"/>
          <w:szCs w:val="32"/>
          <w:highlight w:val="none"/>
          <w:lang w:val="en-US" w:eastAsia="zh-CN"/>
        </w:rPr>
        <w:t>若项目单位有多个存量系统时，应按照厉行节约、从严从紧的编制原则，对存量系统进行整合，结合预算标准及调整系数，统筹申报。商用密码应用安全性评估费=∑系统个数</w:t>
      </w:r>
      <w:r>
        <w:rPr>
          <w:rFonts w:hint="eastAsia" w:ascii="仿宋" w:hAnsi="仿宋" w:eastAsia="仿宋" w:cs="仿宋"/>
          <w:b w:val="0"/>
          <w:bCs w:val="0"/>
          <w:sz w:val="32"/>
          <w:szCs w:val="32"/>
          <w:highlight w:val="none"/>
          <w:lang w:val="en-US" w:eastAsia="zh-CN"/>
        </w:rPr>
        <w:t>×</w:t>
      </w:r>
      <w:r>
        <w:rPr>
          <w:rFonts w:hint="eastAsia" w:ascii="仿宋" w:hAnsi="仿宋" w:eastAsia="仿宋" w:cs="仿宋"/>
          <w:sz w:val="32"/>
          <w:szCs w:val="32"/>
          <w:highlight w:val="none"/>
          <w:lang w:val="en-US" w:eastAsia="zh-CN"/>
        </w:rPr>
        <w:t>收费基数</w:t>
      </w:r>
      <w:r>
        <w:rPr>
          <w:rFonts w:hint="eastAsia" w:ascii="仿宋" w:hAnsi="仿宋" w:eastAsia="仿宋" w:cs="仿宋"/>
          <w:b w:val="0"/>
          <w:bCs w:val="0"/>
          <w:sz w:val="32"/>
          <w:szCs w:val="32"/>
          <w:highlight w:val="none"/>
          <w:lang w:val="en-US" w:eastAsia="zh-CN"/>
        </w:rPr>
        <w:t>×</w:t>
      </w:r>
      <w:r>
        <w:rPr>
          <w:rFonts w:hint="eastAsia" w:ascii="仿宋" w:hAnsi="仿宋" w:eastAsia="仿宋" w:cs="仿宋"/>
          <w:sz w:val="32"/>
          <w:szCs w:val="32"/>
          <w:highlight w:val="none"/>
          <w:lang w:val="en-US" w:eastAsia="zh-CN"/>
        </w:rPr>
        <w:t>调整系数</w:t>
      </w:r>
    </w:p>
    <w:p w14:paraId="747E92D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商用密码应用安全性评估费按以下费率计取：</w:t>
      </w:r>
    </w:p>
    <w:p w14:paraId="44F61FA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商用密码应用安全性评估费用计价表</w:t>
      </w:r>
    </w:p>
    <w:tbl>
      <w:tblPr>
        <w:tblStyle w:val="4"/>
        <w:tblW w:w="7753" w:type="dxa"/>
        <w:jc w:val="center"/>
        <w:tblLayout w:type="fixed"/>
        <w:tblCellMar>
          <w:top w:w="0" w:type="dxa"/>
          <w:left w:w="10" w:type="dxa"/>
          <w:bottom w:w="0" w:type="dxa"/>
          <w:right w:w="10" w:type="dxa"/>
        </w:tblCellMar>
      </w:tblPr>
      <w:tblGrid>
        <w:gridCol w:w="2172"/>
        <w:gridCol w:w="1317"/>
        <w:gridCol w:w="904"/>
        <w:gridCol w:w="1152"/>
        <w:gridCol w:w="1044"/>
        <w:gridCol w:w="1164"/>
      </w:tblGrid>
      <w:tr w14:paraId="3F9621A7">
        <w:trPr>
          <w:trHeight w:val="431" w:hRule="atLeast"/>
          <w:jc w:val="center"/>
        </w:trPr>
        <w:tc>
          <w:tcPr>
            <w:tcW w:w="2172" w:type="dxa"/>
            <w:vMerge w:val="restart"/>
            <w:tcBorders>
              <w:top w:val="single" w:color="auto" w:sz="4" w:space="0"/>
              <w:left w:val="single" w:color="auto" w:sz="4" w:space="0"/>
            </w:tcBorders>
            <w:shd w:val="clear" w:color="auto" w:fill="FFFFFF"/>
            <w:vAlign w:val="center"/>
          </w:tcPr>
          <w:p w14:paraId="580BDD5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商用密码应用安全性评估等级</w:t>
            </w:r>
          </w:p>
        </w:tc>
        <w:tc>
          <w:tcPr>
            <w:tcW w:w="1317" w:type="dxa"/>
            <w:vMerge w:val="restart"/>
            <w:tcBorders>
              <w:top w:val="single" w:color="auto" w:sz="4" w:space="0"/>
              <w:left w:val="single" w:color="auto" w:sz="4" w:space="0"/>
            </w:tcBorders>
            <w:shd w:val="clear" w:color="auto" w:fill="FFFFFF"/>
            <w:vAlign w:val="center"/>
          </w:tcPr>
          <w:p w14:paraId="08CB48A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收费基数(万元)</w:t>
            </w:r>
          </w:p>
        </w:tc>
        <w:tc>
          <w:tcPr>
            <w:tcW w:w="4264" w:type="dxa"/>
            <w:gridSpan w:val="4"/>
            <w:tcBorders>
              <w:top w:val="single" w:color="auto" w:sz="4" w:space="0"/>
              <w:left w:val="single" w:color="auto" w:sz="4" w:space="0"/>
              <w:right w:val="single" w:color="auto" w:sz="4" w:space="0"/>
            </w:tcBorders>
            <w:shd w:val="clear" w:color="auto" w:fill="FFFFFF"/>
            <w:vAlign w:val="center"/>
          </w:tcPr>
          <w:p w14:paraId="00DB5FE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调整系数(系统个数)</w:t>
            </w:r>
          </w:p>
        </w:tc>
      </w:tr>
      <w:tr w14:paraId="5CDB5BE4">
        <w:trPr>
          <w:trHeight w:val="431" w:hRule="atLeast"/>
          <w:jc w:val="center"/>
        </w:trPr>
        <w:tc>
          <w:tcPr>
            <w:tcW w:w="2172" w:type="dxa"/>
            <w:vMerge w:val="continue"/>
            <w:tcBorders>
              <w:left w:val="single" w:color="auto" w:sz="4" w:space="0"/>
            </w:tcBorders>
            <w:shd w:val="clear" w:color="auto" w:fill="FFFFFF"/>
            <w:vAlign w:val="center"/>
          </w:tcPr>
          <w:p w14:paraId="528B971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1317" w:type="dxa"/>
            <w:vMerge w:val="continue"/>
            <w:tcBorders>
              <w:left w:val="single" w:color="auto" w:sz="4" w:space="0"/>
            </w:tcBorders>
            <w:shd w:val="clear" w:color="auto" w:fill="FFFFFF"/>
            <w:vAlign w:val="center"/>
          </w:tcPr>
          <w:p w14:paraId="37B202F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p>
        </w:tc>
        <w:tc>
          <w:tcPr>
            <w:tcW w:w="904" w:type="dxa"/>
            <w:tcBorders>
              <w:top w:val="single" w:color="auto" w:sz="4" w:space="0"/>
              <w:left w:val="single" w:color="auto" w:sz="4" w:space="0"/>
            </w:tcBorders>
            <w:shd w:val="clear" w:color="auto" w:fill="FFFFFF"/>
            <w:vAlign w:val="center"/>
          </w:tcPr>
          <w:p w14:paraId="4841EF1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5-10</w:t>
            </w:r>
          </w:p>
        </w:tc>
        <w:tc>
          <w:tcPr>
            <w:tcW w:w="1152" w:type="dxa"/>
            <w:tcBorders>
              <w:top w:val="single" w:color="auto" w:sz="4" w:space="0"/>
              <w:left w:val="single" w:color="auto" w:sz="4" w:space="0"/>
            </w:tcBorders>
            <w:shd w:val="clear" w:color="auto" w:fill="FFFFFF"/>
            <w:vAlign w:val="center"/>
          </w:tcPr>
          <w:p w14:paraId="535669F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11-30</w:t>
            </w:r>
          </w:p>
        </w:tc>
        <w:tc>
          <w:tcPr>
            <w:tcW w:w="1044" w:type="dxa"/>
            <w:tcBorders>
              <w:top w:val="single" w:color="auto" w:sz="4" w:space="0"/>
              <w:left w:val="single" w:color="auto" w:sz="4" w:space="0"/>
            </w:tcBorders>
            <w:shd w:val="clear" w:color="auto" w:fill="FFFFFF"/>
            <w:vAlign w:val="center"/>
          </w:tcPr>
          <w:p w14:paraId="6A0943F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31-50</w:t>
            </w:r>
          </w:p>
        </w:tc>
        <w:tc>
          <w:tcPr>
            <w:tcW w:w="1164" w:type="dxa"/>
            <w:tcBorders>
              <w:top w:val="single" w:color="auto" w:sz="4" w:space="0"/>
              <w:left w:val="single" w:color="auto" w:sz="4" w:space="0"/>
              <w:right w:val="single" w:color="auto" w:sz="4" w:space="0"/>
            </w:tcBorders>
            <w:shd w:val="clear" w:color="auto" w:fill="FFFFFF"/>
            <w:vAlign w:val="center"/>
          </w:tcPr>
          <w:p w14:paraId="2B2C700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50以上</w:t>
            </w:r>
          </w:p>
        </w:tc>
      </w:tr>
      <w:tr w14:paraId="044AE36A">
        <w:trPr>
          <w:trHeight w:val="270" w:hRule="atLeast"/>
          <w:jc w:val="center"/>
        </w:trPr>
        <w:tc>
          <w:tcPr>
            <w:tcW w:w="2172" w:type="dxa"/>
            <w:tcBorders>
              <w:top w:val="single" w:color="auto" w:sz="4" w:space="0"/>
              <w:left w:val="single" w:color="auto" w:sz="4" w:space="0"/>
              <w:bottom w:val="single" w:color="auto" w:sz="4" w:space="0"/>
            </w:tcBorders>
            <w:shd w:val="clear" w:color="auto" w:fill="FFFFFF"/>
            <w:vAlign w:val="center"/>
          </w:tcPr>
          <w:p w14:paraId="0A830B9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二级</w:t>
            </w:r>
          </w:p>
        </w:tc>
        <w:tc>
          <w:tcPr>
            <w:tcW w:w="1317" w:type="dxa"/>
            <w:tcBorders>
              <w:top w:val="single" w:color="auto" w:sz="4" w:space="0"/>
              <w:left w:val="single" w:color="auto" w:sz="4" w:space="0"/>
              <w:bottom w:val="single" w:color="auto" w:sz="4" w:space="0"/>
            </w:tcBorders>
            <w:shd w:val="clear" w:color="auto" w:fill="FFFFFF"/>
            <w:vAlign w:val="center"/>
          </w:tcPr>
          <w:p w14:paraId="6624E48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904" w:type="dxa"/>
            <w:vMerge w:val="restart"/>
            <w:tcBorders>
              <w:top w:val="single" w:color="auto" w:sz="4" w:space="0"/>
              <w:left w:val="single" w:color="auto" w:sz="4" w:space="0"/>
            </w:tcBorders>
            <w:shd w:val="clear" w:color="auto" w:fill="FFFFFF"/>
            <w:vAlign w:val="center"/>
          </w:tcPr>
          <w:p w14:paraId="6010B95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0.9</w:t>
            </w:r>
          </w:p>
        </w:tc>
        <w:tc>
          <w:tcPr>
            <w:tcW w:w="1152" w:type="dxa"/>
            <w:vMerge w:val="restart"/>
            <w:tcBorders>
              <w:top w:val="single" w:color="auto" w:sz="4" w:space="0"/>
              <w:left w:val="single" w:color="auto" w:sz="4" w:space="0"/>
            </w:tcBorders>
            <w:shd w:val="clear" w:color="auto" w:fill="FFFFFF"/>
            <w:vAlign w:val="center"/>
          </w:tcPr>
          <w:p w14:paraId="11F3632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0.8</w:t>
            </w:r>
          </w:p>
        </w:tc>
        <w:tc>
          <w:tcPr>
            <w:tcW w:w="1044" w:type="dxa"/>
            <w:vMerge w:val="restart"/>
            <w:tcBorders>
              <w:top w:val="single" w:color="auto" w:sz="4" w:space="0"/>
              <w:left w:val="single" w:color="auto" w:sz="4" w:space="0"/>
            </w:tcBorders>
            <w:shd w:val="clear" w:color="auto" w:fill="FFFFFF"/>
            <w:vAlign w:val="center"/>
          </w:tcPr>
          <w:p w14:paraId="617196A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0.7</w:t>
            </w:r>
          </w:p>
        </w:tc>
        <w:tc>
          <w:tcPr>
            <w:tcW w:w="1164" w:type="dxa"/>
            <w:vMerge w:val="restart"/>
            <w:tcBorders>
              <w:top w:val="single" w:color="auto" w:sz="4" w:space="0"/>
              <w:left w:val="single" w:color="auto" w:sz="4" w:space="0"/>
              <w:right w:val="single" w:color="auto" w:sz="4" w:space="0"/>
            </w:tcBorders>
            <w:shd w:val="clear" w:color="auto" w:fill="FFFFFF"/>
            <w:vAlign w:val="center"/>
          </w:tcPr>
          <w:p w14:paraId="652B513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0.6</w:t>
            </w:r>
          </w:p>
        </w:tc>
      </w:tr>
      <w:tr w14:paraId="3979A661">
        <w:trPr>
          <w:trHeight w:val="244" w:hRule="atLeast"/>
          <w:jc w:val="center"/>
        </w:trPr>
        <w:tc>
          <w:tcPr>
            <w:tcW w:w="2172" w:type="dxa"/>
            <w:tcBorders>
              <w:top w:val="single" w:color="auto" w:sz="4" w:space="0"/>
              <w:left w:val="single" w:color="auto" w:sz="4" w:space="0"/>
              <w:bottom w:val="single" w:color="auto" w:sz="4" w:space="0"/>
            </w:tcBorders>
            <w:shd w:val="clear" w:color="auto" w:fill="FFFFFF"/>
            <w:vAlign w:val="center"/>
          </w:tcPr>
          <w:p w14:paraId="2F4FBF1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三级</w:t>
            </w:r>
          </w:p>
        </w:tc>
        <w:tc>
          <w:tcPr>
            <w:tcW w:w="1317" w:type="dxa"/>
            <w:tcBorders>
              <w:top w:val="single" w:color="auto" w:sz="4" w:space="0"/>
              <w:left w:val="single" w:color="auto" w:sz="4" w:space="0"/>
              <w:bottom w:val="single" w:color="auto" w:sz="4" w:space="0"/>
            </w:tcBorders>
            <w:shd w:val="clear" w:color="auto" w:fill="FFFFFF"/>
            <w:vAlign w:val="center"/>
          </w:tcPr>
          <w:p w14:paraId="113E735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904" w:type="dxa"/>
            <w:vMerge w:val="continue"/>
            <w:tcBorders>
              <w:left w:val="single" w:color="auto" w:sz="4" w:space="0"/>
              <w:bottom w:val="single" w:color="auto" w:sz="4" w:space="0"/>
            </w:tcBorders>
            <w:shd w:val="clear" w:color="auto" w:fill="FFFFFF"/>
            <w:vAlign w:val="center"/>
          </w:tcPr>
          <w:p w14:paraId="77C5B7A2">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sz w:val="28"/>
                <w:szCs w:val="28"/>
                <w:highlight w:val="none"/>
                <w:lang w:val="en-US" w:eastAsia="zh-CN"/>
              </w:rPr>
            </w:pPr>
          </w:p>
        </w:tc>
        <w:tc>
          <w:tcPr>
            <w:tcW w:w="1152" w:type="dxa"/>
            <w:vMerge w:val="continue"/>
            <w:tcBorders>
              <w:left w:val="single" w:color="auto" w:sz="4" w:space="0"/>
              <w:bottom w:val="single" w:color="auto" w:sz="4" w:space="0"/>
            </w:tcBorders>
            <w:shd w:val="clear" w:color="auto" w:fill="FFFFFF"/>
            <w:vAlign w:val="center"/>
          </w:tcPr>
          <w:p w14:paraId="63DCC1D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sz w:val="28"/>
                <w:szCs w:val="28"/>
                <w:highlight w:val="none"/>
                <w:lang w:val="en-US" w:eastAsia="zh-CN"/>
              </w:rPr>
            </w:pPr>
          </w:p>
        </w:tc>
        <w:tc>
          <w:tcPr>
            <w:tcW w:w="1044" w:type="dxa"/>
            <w:vMerge w:val="continue"/>
            <w:tcBorders>
              <w:left w:val="single" w:color="auto" w:sz="4" w:space="0"/>
              <w:bottom w:val="single" w:color="auto" w:sz="4" w:space="0"/>
            </w:tcBorders>
            <w:shd w:val="clear" w:color="auto" w:fill="FFFFFF"/>
            <w:vAlign w:val="center"/>
          </w:tcPr>
          <w:p w14:paraId="440C709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sz w:val="28"/>
                <w:szCs w:val="28"/>
                <w:highlight w:val="none"/>
                <w:lang w:val="en-US" w:eastAsia="zh-CN"/>
              </w:rPr>
            </w:pPr>
          </w:p>
        </w:tc>
        <w:tc>
          <w:tcPr>
            <w:tcW w:w="1164" w:type="dxa"/>
            <w:vMerge w:val="continue"/>
            <w:tcBorders>
              <w:left w:val="single" w:color="auto" w:sz="4" w:space="0"/>
              <w:bottom w:val="single" w:color="auto" w:sz="4" w:space="0"/>
              <w:right w:val="single" w:color="auto" w:sz="4" w:space="0"/>
            </w:tcBorders>
            <w:shd w:val="clear" w:color="auto" w:fill="FFFFFF"/>
            <w:vAlign w:val="center"/>
          </w:tcPr>
          <w:p w14:paraId="38F314A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sz w:val="28"/>
                <w:szCs w:val="28"/>
                <w:highlight w:val="none"/>
                <w:lang w:val="en-US" w:eastAsia="en-US"/>
              </w:rPr>
            </w:pPr>
          </w:p>
        </w:tc>
      </w:tr>
    </w:tbl>
    <w:p w14:paraId="5F1911CB">
      <w:pPr>
        <w:keepNext w:val="0"/>
        <w:keepLines w:val="0"/>
        <w:pageBreakBefore w:val="0"/>
        <w:widowControl w:val="0"/>
        <w:kinsoku/>
        <w:wordWrap/>
        <w:overflowPunct/>
        <w:topLinePunct w:val="0"/>
        <w:autoSpaceDE/>
        <w:autoSpaceDN/>
        <w:bidi w:val="0"/>
        <w:adjustRightInd/>
        <w:snapToGrid/>
        <w:spacing w:line="360" w:lineRule="exact"/>
        <w:ind w:left="218" w:leftChars="104" w:firstLine="19" w:firstLineChars="8"/>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注：调整系数(系统个数)是项目单位需要执行商用密码应用安全性评估工作的系统数量</w:t>
      </w:r>
    </w:p>
    <w:p w14:paraId="240A9BE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楷体" w:hAnsi="楷体" w:eastAsia="楷体" w:cs="楷体"/>
          <w:sz w:val="32"/>
          <w:szCs w:val="32"/>
          <w:highlight w:val="none"/>
          <w:lang w:val="en-US" w:eastAsia="zh-CN"/>
        </w:rPr>
        <w:t>(四)云资源租赁费</w:t>
      </w:r>
    </w:p>
    <w:p w14:paraId="7A02ADA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主要指按照设计要求为系统提供云资源支撑的服务费。</w:t>
      </w:r>
    </w:p>
    <w:p w14:paraId="3DEC239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新增运维项目根据《市人民政府办公厅关于印发武汉市加快推进武汉云建设实施方案的通知》(武政办〔2021〕19号)要求，项目费用应按市数据局发布“武汉云服务目录”所列服务项及其技术规格、计价规则与取费基准，结合业务实际需求进行逐项核算，并确保全部测算口径与目录标准保持一致。</w:t>
      </w:r>
    </w:p>
    <w:p w14:paraId="34FF025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持续性运维项目按目录标准测算，并根据云资源年度使用情况，按照《市数据局关于转发&lt;湖北省电子政务云资源使用率管理规范(试行)&gt;的通知》要求进行调整。</w:t>
      </w:r>
    </w:p>
    <w:p w14:paraId="5E8B439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严格落实党政机关过紧日子要求，在科学统筹、合理配置资源的基础上，依据《市数据局关于转发〈湖北省电子政务云资源使用率管理规范(试行)〉的通知》相关调整规则，在“配置标准—保持不变”范围内，适当提升云资源使用效率，推动资源集约高效利用。</w:t>
      </w:r>
    </w:p>
    <w:p w14:paraId="6BC945A4">
      <w:pPr>
        <w:pStyle w:val="3"/>
        <w:keepNext w:val="0"/>
        <w:keepLines w:val="0"/>
        <w:pageBreakBefore w:val="0"/>
        <w:widowControl w:val="0"/>
        <w:kinsoku/>
        <w:wordWrap/>
        <w:overflowPunct/>
        <w:topLinePunct w:val="0"/>
        <w:autoSpaceDE/>
        <w:autoSpaceDN/>
        <w:bidi w:val="0"/>
        <w:adjustRightInd/>
        <w:snapToGrid/>
        <w:spacing w:beforeLines="0" w:afterLines="0" w:line="600" w:lineRule="exact"/>
        <w:ind w:left="-420" w:leftChars="-200" w:right="0" w:firstLine="960" w:firstLineChars="300"/>
        <w:textAlignment w:val="auto"/>
        <w:rPr>
          <w:rFonts w:hint="default"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(四)其他运维服务费</w:t>
      </w:r>
    </w:p>
    <w:p w14:paraId="24845035">
      <w:pPr>
        <w:pStyle w:val="3"/>
        <w:keepNext w:val="0"/>
        <w:keepLines w:val="0"/>
        <w:pageBreakBefore w:val="0"/>
        <w:widowControl w:val="0"/>
        <w:kinsoku/>
        <w:wordWrap/>
        <w:overflowPunct/>
        <w:topLinePunct w:val="0"/>
        <w:autoSpaceDE/>
        <w:autoSpaceDN/>
        <w:bidi w:val="0"/>
        <w:adjustRightInd/>
        <w:snapToGrid/>
        <w:spacing w:beforeLines="0" w:afterLines="0" w:line="600" w:lineRule="exact"/>
        <w:ind w:right="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其他运维服务可采用政府采购协议价、市场询价取费或工作量估算法进行测算。</w:t>
      </w:r>
    </w:p>
    <w:p w14:paraId="010AAD2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kern w:val="2"/>
          <w:sz w:val="32"/>
          <w:szCs w:val="32"/>
          <w:highlight w:val="none"/>
          <w:lang w:val="en-US" w:eastAsia="zh-CN" w:bidi="ar-SA"/>
        </w:rPr>
        <w:t>四、</w:t>
      </w:r>
      <w:r>
        <w:rPr>
          <w:rFonts w:hint="eastAsia" w:ascii="黑体" w:hAnsi="黑体" w:eastAsia="黑体" w:cs="黑体"/>
          <w:b w:val="0"/>
          <w:bCs w:val="0"/>
          <w:sz w:val="32"/>
          <w:szCs w:val="32"/>
          <w:highlight w:val="none"/>
          <w:lang w:val="en-US" w:eastAsia="zh-CN"/>
        </w:rPr>
        <w:t>附件清单</w:t>
      </w:r>
    </w:p>
    <w:p w14:paraId="6733ECB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(一)XX信息系统运维项目运维方案</w:t>
      </w:r>
    </w:p>
    <w:p w14:paraId="2730881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参照“XX信息系统运维项目运维方案(模板)”要求编写。</w:t>
      </w:r>
    </w:p>
    <w:p w14:paraId="58C14FE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(二)XX信息化项目运维情况表</w:t>
      </w:r>
    </w:p>
    <w:p w14:paraId="4477674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表1：产品软件、硬件及其他服务运维费分项预算表</w:t>
      </w:r>
    </w:p>
    <w:p w14:paraId="334AD77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表2：定制化开发软件运维费分项预算表</w:t>
      </w:r>
    </w:p>
    <w:p w14:paraId="6CD5CBC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表3：驻场运维费分项预算表</w:t>
      </w:r>
    </w:p>
    <w:p w14:paraId="57C0CE2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表4：云资源租赁服务购置分项测算表</w:t>
      </w:r>
    </w:p>
    <w:p w14:paraId="4B28A8E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highlight w:val="none"/>
          <w:lang w:val="en-US" w:eastAsia="zh-CN"/>
        </w:rPr>
      </w:pPr>
    </w:p>
    <w:p w14:paraId="019BF6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小标宋简体">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汉仪楷体KW"/>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汉仪楷体KW">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6EABFC"/>
    <w:rsid w:val="676EA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unhideWhenUsed/>
    <w:qFormat/>
    <w:uiPriority w:val="1"/>
    <w:pPr>
      <w:spacing w:beforeLines="0" w:afterLines="0"/>
    </w:pPr>
    <w:rPr>
      <w:rFonts w:hint="eastAsia"/>
      <w:sz w:val="3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Office_12.1.23135.23135_F1E327BC-269C-435d-A152-05C5408002CA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2026-07-09T11:17:00Z</dcterms:created>
  <dc:creator>sr</dc:creator>
  <cp:lastModifiedBy>sr</cp:lastModifiedBy>
  <dcterms:modified xsi:type="dcterms:W3CDTF">2026-07-09T11:18:48Z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2052-12.1.23135.23135</vt:lpwstr>
  </property>
  <property fmtid="{D5CDD505-2E9C-101B-9397-08002B2CF9AE}" pid="3" name="ICV">
    <vt:lpwstr>014904E1807AE586E7124F6A023C2A48_41</vt:lpwstr>
  </property>
</Properties>
</file>