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60B46">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附件3</w:t>
      </w:r>
    </w:p>
    <w:p w14:paraId="3FDF8EC8">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36"/>
          <w:szCs w:val="36"/>
          <w:highlight w:val="none"/>
          <w:lang w:val="en-US" w:eastAsia="zh-CN"/>
        </w:rPr>
        <w:t>武汉市市级信息化建设项目预算标准</w:t>
      </w:r>
    </w:p>
    <w:p w14:paraId="1FAEA6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信息化建设项目预算应按照厉行节约、从严从紧的原则编制。相关标准参照《湖北省省级信息化建设项目预算标准》测算。</w:t>
      </w:r>
    </w:p>
    <w:p w14:paraId="51206FDC">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highlight w:val="none"/>
          <w:lang w:val="en-US" w:eastAsia="zh-CN"/>
        </w:rPr>
      </w:pPr>
      <w:bookmarkStart w:id="0" w:name="OLE_LINK3"/>
      <w:r>
        <w:rPr>
          <w:rFonts w:hint="eastAsia" w:ascii="黑体" w:hAnsi="黑体" w:eastAsia="黑体" w:cs="黑体"/>
          <w:b w:val="0"/>
          <w:bCs w:val="0"/>
          <w:sz w:val="32"/>
          <w:szCs w:val="32"/>
          <w:highlight w:val="none"/>
          <w:lang w:val="en-US" w:eastAsia="zh-CN"/>
        </w:rPr>
        <w:t>一、基础(软硬件)设施购置费</w:t>
      </w:r>
    </w:p>
    <w:p w14:paraId="1E0514EA">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基础(软硬件)设施按项目实际需求配置，价格参考市场报价、政府采购协议价或政府指导价。</w:t>
      </w:r>
    </w:p>
    <w:p w14:paraId="720E0E08">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(一)基础硬件产品购置费部分。</w:t>
      </w:r>
      <w:r>
        <w:rPr>
          <w:rFonts w:hint="eastAsia" w:ascii="仿宋" w:hAnsi="仿宋" w:eastAsia="仿宋" w:cs="仿宋"/>
          <w:sz w:val="32"/>
          <w:szCs w:val="32"/>
          <w:highlight w:val="none"/>
          <w:lang w:val="en-US" w:eastAsia="zh-CN"/>
        </w:rPr>
        <w:t>单价1万元以上或单一设备总价4万元以上的，需提供三个以上同级别不同品牌厂商(代理商)的报价单。报价单应包括品牌名称、规格型号、性能参数、单价、报价单位名称(加盖公章)、联系人及电话等内容。或提供近六个月内政府采购项目中同类型同级别设备的中标（合同）价格及相关有效证明材料。</w:t>
      </w:r>
    </w:p>
    <w:p w14:paraId="3FD073E4">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(二)基础软件产品购置费部分。</w:t>
      </w:r>
      <w:r>
        <w:rPr>
          <w:rFonts w:hint="eastAsia" w:ascii="仿宋" w:hAnsi="仿宋" w:eastAsia="仿宋" w:cs="仿宋"/>
          <w:sz w:val="32"/>
          <w:szCs w:val="32"/>
          <w:highlight w:val="none"/>
          <w:lang w:val="en-US" w:eastAsia="zh-CN"/>
        </w:rPr>
        <w:t>需提供三个以上同级别不同品牌厂商（代理商）的报价单。报价单应包括品牌名称、软件版本号、功能清单、性能指标、单价、授权方式、报价单位名称(加盖公章)、联系人及电话等内容。或提供近六个月内政府采购项目中同类型产品中标(合同)价格及相关有效证明材料。</w:t>
      </w:r>
    </w:p>
    <w:p w14:paraId="7B24413E">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(三)生产厂家及代理商数量不足的</w:t>
      </w:r>
      <w:r>
        <w:rPr>
          <w:rFonts w:hint="eastAsia" w:ascii="仿宋_GB2312" w:hAnsi="仿宋_GB2312" w:eastAsia="仿宋_GB2312" w:cs="仿宋_GB2312"/>
          <w:sz w:val="32"/>
          <w:szCs w:val="32"/>
          <w:highlight w:val="none"/>
          <w:lang w:val="en-US" w:eastAsia="zh-CN"/>
        </w:rPr>
        <w:t>，</w:t>
      </w:r>
      <w:r>
        <w:rPr>
          <w:rFonts w:hint="eastAsia" w:ascii="楷体" w:hAnsi="楷体" w:eastAsia="楷体" w:cs="楷体"/>
          <w:sz w:val="32"/>
          <w:szCs w:val="32"/>
          <w:highlight w:val="none"/>
          <w:lang w:val="en-US" w:eastAsia="zh-CN"/>
        </w:rPr>
        <w:t>或特殊软硬件产品仅能单一来源采购的，</w:t>
      </w:r>
      <w:r>
        <w:rPr>
          <w:rFonts w:hint="eastAsia" w:ascii="仿宋" w:hAnsi="仿宋" w:eastAsia="仿宋" w:cs="仿宋"/>
          <w:sz w:val="32"/>
          <w:szCs w:val="32"/>
          <w:highlight w:val="none"/>
          <w:lang w:val="en-US" w:eastAsia="zh-CN"/>
        </w:rPr>
        <w:t>须详细说明。</w:t>
      </w:r>
    </w:p>
    <w:bookmarkEnd w:id="0"/>
    <w:p w14:paraId="2C0A93F3">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二、云资源租赁费</w:t>
      </w:r>
    </w:p>
    <w:p w14:paraId="02E6630E">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主要指按照设计要求为系统提供云资源支撑的服务费用，根据《市人民政府办公厅关于印发武汉市加快推进武汉云建设实施方案的通知》(武政办〔2021〕19号)要求，项目费用应按市数据局发布“武汉云服务目录”所列服务项及其规格、计价与取费基准，结合业务实际需求进行逐项核算，并确保全部测算口径与目录标准保持一致。</w:t>
      </w:r>
    </w:p>
    <w:p w14:paraId="346DF3C4">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三、应用(定制化)软件开发费</w:t>
      </w:r>
    </w:p>
    <w:p w14:paraId="551D199B">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主要指按照用户需求，实现功能要求所产生的软件系统建设费用。</w:t>
      </w:r>
    </w:p>
    <w:p w14:paraId="489A39BF">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开发费用＝工作量×软件开发人工成本×风险系数×复用系数</w:t>
      </w:r>
    </w:p>
    <w:p w14:paraId="4659C567">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软件开发人工成本(月) = 2.09万元/月</w:t>
      </w:r>
    </w:p>
    <w:p w14:paraId="21D25285">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软件开发人工成本(年) = 25万元/年</w:t>
      </w:r>
    </w:p>
    <w:p w14:paraId="39A4BC9C">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风险系数 = 1 (大于1的应在建设方案中详细说明)</w:t>
      </w:r>
    </w:p>
    <w:p w14:paraId="3E248CEF">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复用系数 = 0.50 (大于0.50的应在建设方案中详细说明)</w:t>
      </w:r>
    </w:p>
    <w:p w14:paraId="2BB8ADEB">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四、系统集成费</w:t>
      </w:r>
    </w:p>
    <w:p w14:paraId="41D61526">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主要是指硬件设备、软件产品的安装和调试所产生的必要支出。系统集成费按照建设方案确定的系统集成范围，以 硬件设备、软件产品购置费为取费基础，按照3%～8%的费率计取。</w:t>
      </w:r>
    </w:p>
    <w:p w14:paraId="5419B5AF">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五、其他费用</w:t>
      </w:r>
    </w:p>
    <w:p w14:paraId="76B5BCFF">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(一)项目管理费</w:t>
      </w:r>
    </w:p>
    <w:p w14:paraId="03413B0B">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包括建设单位管理费、监理费、竣工验收费、结算及审计费等，结合项目实际情况，确需发生的在限额内申报。项目管理费按以下费率计取：</w:t>
      </w:r>
    </w:p>
    <w:p w14:paraId="52AEE8D8">
      <w:pPr>
        <w:pStyle w:val="2"/>
        <w:keepNext w:val="0"/>
        <w:keepLines w:val="0"/>
        <w:pageBreakBefore w:val="0"/>
        <w:widowControl w:val="0"/>
        <w:kinsoku w:val="0"/>
        <w:wordWrap/>
        <w:overflowPunct w:val="0"/>
        <w:topLinePunct w:val="0"/>
        <w:autoSpaceDE/>
        <w:autoSpaceDN/>
        <w:bidi w:val="0"/>
        <w:adjustRightInd/>
        <w:snapToGrid/>
        <w:spacing w:before="40" w:beforeLines="0" w:afterLines="0" w:line="600" w:lineRule="exact"/>
        <w:ind w:left="1304" w:right="1421"/>
        <w:jc w:val="center"/>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项目管理费计价表</w:t>
      </w: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4"/>
        <w:gridCol w:w="4452"/>
        <w:gridCol w:w="2067"/>
      </w:tblGrid>
      <w:tr w14:paraId="6CEDC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0" w:hRule="exac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035B1A4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auto"/>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序号</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52AFED46">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auto"/>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项目直接建费(M)</w:t>
            </w:r>
            <w:r>
              <w:rPr>
                <w:rFonts w:hint="eastAsia" w:ascii="仿宋" w:hAnsi="仿宋" w:eastAsia="仿宋" w:cs="仿宋"/>
                <w:kern w:val="2"/>
                <w:sz w:val="18"/>
                <w:szCs w:val="18"/>
                <w:highlight w:val="none"/>
                <w:lang w:val="en-US" w:eastAsia="zh-CN" w:bidi="ar-SA"/>
              </w:rPr>
              <w:t>(万元)</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2BBFD024">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auto"/>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费率(%)</w:t>
            </w:r>
          </w:p>
        </w:tc>
      </w:tr>
      <w:tr w14:paraId="307C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3CC85C4A">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3316ACCE">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M≤500</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513B7445">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2.5</w:t>
            </w:r>
          </w:p>
        </w:tc>
      </w:tr>
      <w:tr w14:paraId="3F213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2130A09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45822DEC">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500&lt;M≤1000</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57BA8A15">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2.0</w:t>
            </w:r>
          </w:p>
        </w:tc>
      </w:tr>
      <w:tr w14:paraId="3407D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118FF272">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1F401732">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1000&lt;M≤3000</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1508608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l.5</w:t>
            </w:r>
          </w:p>
        </w:tc>
      </w:tr>
      <w:tr w14:paraId="04952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54EBEFE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79FF2E6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3000&lt;M≤5000</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7638A409">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w:t>
            </w:r>
          </w:p>
        </w:tc>
      </w:tr>
      <w:tr w14:paraId="5BE3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334BF139">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37E4A4B6">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5000&lt;M≤10000</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7028F494">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0.5</w:t>
            </w:r>
          </w:p>
        </w:tc>
      </w:tr>
      <w:tr w14:paraId="2E56D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1084" w:type="dxa"/>
            <w:tcBorders>
              <w:top w:val="single" w:color="000000" w:sz="8" w:space="0"/>
              <w:left w:val="single" w:color="000000" w:sz="8" w:space="0"/>
              <w:bottom w:val="single" w:color="000000" w:sz="8" w:space="0"/>
              <w:right w:val="single" w:color="000000" w:sz="8" w:space="0"/>
            </w:tcBorders>
            <w:noWrap w:val="0"/>
            <w:vAlign w:val="center"/>
          </w:tcPr>
          <w:p w14:paraId="5D341FB8">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w:t>
            </w:r>
          </w:p>
        </w:tc>
        <w:tc>
          <w:tcPr>
            <w:tcW w:w="4452" w:type="dxa"/>
            <w:tcBorders>
              <w:top w:val="single" w:color="000000" w:sz="8" w:space="0"/>
              <w:left w:val="single" w:color="000000" w:sz="8" w:space="0"/>
              <w:bottom w:val="single" w:color="000000" w:sz="8" w:space="0"/>
              <w:right w:val="single" w:color="000000" w:sz="8" w:space="0"/>
            </w:tcBorders>
            <w:noWrap w:val="0"/>
            <w:vAlign w:val="center"/>
          </w:tcPr>
          <w:p w14:paraId="6152C29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10000&lt;M</w:t>
            </w:r>
          </w:p>
        </w:tc>
        <w:tc>
          <w:tcPr>
            <w:tcW w:w="2067" w:type="dxa"/>
            <w:tcBorders>
              <w:top w:val="single" w:color="000000" w:sz="8" w:space="0"/>
              <w:left w:val="single" w:color="000000" w:sz="8" w:space="0"/>
              <w:bottom w:val="single" w:color="000000" w:sz="8" w:space="0"/>
              <w:right w:val="single" w:color="000000" w:sz="8" w:space="0"/>
            </w:tcBorders>
            <w:noWrap w:val="0"/>
            <w:vAlign w:val="center"/>
          </w:tcPr>
          <w:p w14:paraId="42FFF475">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0.2</w:t>
            </w:r>
          </w:p>
        </w:tc>
      </w:tr>
    </w:tbl>
    <w:p w14:paraId="34DA3502">
      <w:pPr>
        <w:pStyle w:val="2"/>
        <w:keepNext w:val="0"/>
        <w:keepLines w:val="0"/>
        <w:pageBreakBefore w:val="0"/>
        <w:widowControl w:val="0"/>
        <w:kinsoku w:val="0"/>
        <w:wordWrap/>
        <w:overflowPunct w:val="0"/>
        <w:topLinePunct w:val="0"/>
        <w:autoSpaceDE/>
        <w:autoSpaceDN/>
        <w:bidi w:val="0"/>
        <w:adjustRightInd/>
        <w:snapToGrid/>
        <w:spacing w:beforeLines="0" w:afterLines="0" w:line="360" w:lineRule="exact"/>
        <w:ind w:left="0" w:leftChars="0" w:right="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注：1.本表采用差额定率累进法计算</w:t>
      </w:r>
    </w:p>
    <w:p w14:paraId="44F75D31">
      <w:pPr>
        <w:pStyle w:val="2"/>
        <w:keepNext w:val="0"/>
        <w:keepLines w:val="0"/>
        <w:pageBreakBefore w:val="0"/>
        <w:widowControl w:val="0"/>
        <w:numPr>
          <w:ilvl w:val="0"/>
          <w:numId w:val="1"/>
        </w:numPr>
        <w:kinsoku w:val="0"/>
        <w:wordWrap/>
        <w:overflowPunct w:val="0"/>
        <w:topLinePunct w:val="0"/>
        <w:autoSpaceDE/>
        <w:autoSpaceDN/>
        <w:bidi w:val="0"/>
        <w:adjustRightInd/>
        <w:snapToGrid/>
        <w:spacing w:beforeLines="0" w:afterLines="0" w:line="360" w:lineRule="exact"/>
        <w:ind w:left="840" w:leftChars="400" w:right="0" w:rightChars="0" w:firstLine="120" w:firstLineChars="5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项目直接建设费(M)=软硬件产品购置费＋云资源租赁费＋软件开发费＋系统集成费</w:t>
      </w:r>
    </w:p>
    <w:p w14:paraId="1F449B1B">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(二)设计费</w:t>
      </w:r>
    </w:p>
    <w:p w14:paraId="75DF3C14">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包括信息化项目咨询费、建设方案设计费和预算编制费等。结合项目实际情况，确需发生的在限额内申报。</w:t>
      </w:r>
    </w:p>
    <w:p w14:paraId="0B7E43C6">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设计费＝项目直接建设费×费率×调整系数</w:t>
      </w:r>
    </w:p>
    <w:p w14:paraId="0391F426">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综合市场价格等相关因素，设计费按以下费率和调整系数计取：</w:t>
      </w:r>
    </w:p>
    <w:p w14:paraId="299D568A">
      <w:pPr>
        <w:pStyle w:val="2"/>
        <w:keepNext w:val="0"/>
        <w:keepLines w:val="0"/>
        <w:pageBreakBefore w:val="0"/>
        <w:widowControl w:val="0"/>
        <w:kinsoku w:val="0"/>
        <w:wordWrap/>
        <w:overflowPunct w:val="0"/>
        <w:topLinePunct w:val="0"/>
        <w:autoSpaceDE/>
        <w:autoSpaceDN/>
        <w:bidi w:val="0"/>
        <w:adjustRightInd/>
        <w:snapToGrid/>
        <w:spacing w:before="40" w:beforeLines="0" w:afterLines="0" w:line="600" w:lineRule="exact"/>
        <w:ind w:left="1304" w:right="1421"/>
        <w:jc w:val="center"/>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设计费计价表</w:t>
      </w:r>
    </w:p>
    <w:tbl>
      <w:tblPr>
        <w:tblStyle w:val="5"/>
        <w:tblW w:w="452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2262"/>
        <w:gridCol w:w="1139"/>
        <w:gridCol w:w="1065"/>
        <w:gridCol w:w="1121"/>
        <w:gridCol w:w="1334"/>
      </w:tblGrid>
      <w:tr w14:paraId="004CF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2" w:hRule="atLeast"/>
          <w:jc w:val="center"/>
        </w:trPr>
        <w:tc>
          <w:tcPr>
            <w:tcW w:w="509" w:type="pct"/>
            <w:vMerge w:val="restart"/>
            <w:tcBorders>
              <w:top w:val="single" w:color="000000" w:sz="8" w:space="0"/>
              <w:left w:val="single" w:color="000000" w:sz="8" w:space="0"/>
              <w:right w:val="single" w:color="000000" w:sz="8" w:space="0"/>
            </w:tcBorders>
            <w:noWrap w:val="0"/>
            <w:vAlign w:val="center"/>
          </w:tcPr>
          <w:p w14:paraId="1A1BBE6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序号</w:t>
            </w:r>
          </w:p>
        </w:tc>
        <w:tc>
          <w:tcPr>
            <w:tcW w:w="1467" w:type="pct"/>
            <w:vMerge w:val="restart"/>
            <w:tcBorders>
              <w:top w:val="single" w:color="000000" w:sz="8" w:space="0"/>
              <w:left w:val="single" w:color="000000" w:sz="8" w:space="0"/>
              <w:right w:val="single" w:color="000000" w:sz="8" w:space="0"/>
            </w:tcBorders>
            <w:noWrap w:val="0"/>
            <w:vAlign w:val="center"/>
          </w:tcPr>
          <w:p w14:paraId="5E20A3F7">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项目直接建费(M)</w:t>
            </w:r>
          </w:p>
          <w:p w14:paraId="05A3529A">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(万元)</w:t>
            </w:r>
          </w:p>
        </w:tc>
        <w:tc>
          <w:tcPr>
            <w:tcW w:w="739" w:type="pct"/>
            <w:vMerge w:val="restart"/>
            <w:tcBorders>
              <w:top w:val="single" w:color="000000" w:sz="8" w:space="0"/>
              <w:left w:val="single" w:color="000000" w:sz="8" w:space="0"/>
              <w:right w:val="single" w:color="000000" w:sz="8" w:space="0"/>
            </w:tcBorders>
            <w:noWrap w:val="0"/>
            <w:vAlign w:val="center"/>
          </w:tcPr>
          <w:p w14:paraId="397E9B8C">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费率(%)</w:t>
            </w:r>
          </w:p>
        </w:tc>
        <w:tc>
          <w:tcPr>
            <w:tcW w:w="2283" w:type="pct"/>
            <w:gridSpan w:val="3"/>
            <w:tcBorders>
              <w:top w:val="single" w:color="000000" w:sz="8" w:space="0"/>
              <w:left w:val="single" w:color="000000" w:sz="8" w:space="0"/>
              <w:bottom w:val="single" w:color="000000" w:sz="8" w:space="0"/>
              <w:right w:val="single" w:color="000000" w:sz="8" w:space="0"/>
            </w:tcBorders>
            <w:noWrap w:val="0"/>
            <w:vAlign w:val="center"/>
          </w:tcPr>
          <w:p w14:paraId="5ECC8626">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调整系数</w:t>
            </w:r>
          </w:p>
        </w:tc>
      </w:tr>
      <w:tr w14:paraId="10F4C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4" w:hRule="atLeast"/>
          <w:jc w:val="center"/>
        </w:trPr>
        <w:tc>
          <w:tcPr>
            <w:tcW w:w="509" w:type="pct"/>
            <w:vMerge w:val="continue"/>
            <w:tcBorders>
              <w:left w:val="single" w:color="000000" w:sz="8" w:space="0"/>
              <w:bottom w:val="single" w:color="auto" w:sz="4" w:space="0"/>
              <w:right w:val="single" w:color="000000" w:sz="8" w:space="0"/>
            </w:tcBorders>
            <w:noWrap w:val="0"/>
            <w:vAlign w:val="center"/>
          </w:tcPr>
          <w:p w14:paraId="7A1982C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1467" w:type="pct"/>
            <w:vMerge w:val="continue"/>
            <w:tcBorders>
              <w:left w:val="single" w:color="000000" w:sz="8" w:space="0"/>
              <w:bottom w:val="single" w:color="auto" w:sz="4" w:space="0"/>
              <w:right w:val="single" w:color="000000" w:sz="8" w:space="0"/>
            </w:tcBorders>
            <w:noWrap w:val="0"/>
            <w:vAlign w:val="center"/>
          </w:tcPr>
          <w:p w14:paraId="79F4CBA5">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p>
        </w:tc>
        <w:tc>
          <w:tcPr>
            <w:tcW w:w="739" w:type="pct"/>
            <w:vMerge w:val="continue"/>
            <w:tcBorders>
              <w:left w:val="single" w:color="000000" w:sz="8" w:space="0"/>
              <w:bottom w:val="single" w:color="auto" w:sz="4" w:space="0"/>
              <w:right w:val="single" w:color="000000" w:sz="8" w:space="0"/>
            </w:tcBorders>
            <w:noWrap w:val="0"/>
            <w:vAlign w:val="center"/>
          </w:tcPr>
          <w:p w14:paraId="2C6BA7A4">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691" w:type="pct"/>
            <w:tcBorders>
              <w:top w:val="single" w:color="000000" w:sz="8" w:space="0"/>
              <w:left w:val="single" w:color="000000" w:sz="8" w:space="0"/>
              <w:bottom w:val="single" w:color="auto" w:sz="4" w:space="0"/>
              <w:right w:val="single" w:color="000000" w:sz="8" w:space="0"/>
            </w:tcBorders>
            <w:noWrap w:val="0"/>
            <w:vAlign w:val="center"/>
          </w:tcPr>
          <w:p w14:paraId="6303A598">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综合类</w:t>
            </w:r>
          </w:p>
        </w:tc>
        <w:tc>
          <w:tcPr>
            <w:tcW w:w="727" w:type="pct"/>
            <w:tcBorders>
              <w:top w:val="single" w:color="000000" w:sz="8" w:space="0"/>
              <w:left w:val="single" w:color="000000" w:sz="8" w:space="0"/>
              <w:bottom w:val="single" w:color="auto" w:sz="4" w:space="0"/>
              <w:right w:val="single" w:color="000000" w:sz="8" w:space="0"/>
            </w:tcBorders>
            <w:noWrap w:val="0"/>
            <w:vAlign w:val="center"/>
          </w:tcPr>
          <w:p w14:paraId="73F0ABA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软件开发类</w:t>
            </w:r>
          </w:p>
        </w:tc>
        <w:tc>
          <w:tcPr>
            <w:tcW w:w="865" w:type="pct"/>
            <w:tcBorders>
              <w:top w:val="single" w:color="000000" w:sz="8" w:space="0"/>
              <w:left w:val="single" w:color="000000" w:sz="8" w:space="0"/>
              <w:bottom w:val="single" w:color="auto" w:sz="4" w:space="0"/>
              <w:right w:val="single" w:color="000000" w:sz="8" w:space="0"/>
            </w:tcBorders>
            <w:noWrap w:val="0"/>
            <w:vAlign w:val="center"/>
          </w:tcPr>
          <w:p w14:paraId="65CF7226">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软硬件产品购置类</w:t>
            </w:r>
          </w:p>
        </w:tc>
      </w:tr>
      <w:tr w14:paraId="2D44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68377D63">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5CF1CDAA">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M≤500</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0CE21FA4">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w:t>
            </w:r>
          </w:p>
        </w:tc>
        <w:tc>
          <w:tcPr>
            <w:tcW w:w="691" w:type="pct"/>
            <w:vMerge w:val="restart"/>
            <w:tcBorders>
              <w:top w:val="single" w:color="auto" w:sz="4" w:space="0"/>
              <w:left w:val="single" w:color="auto" w:sz="4" w:space="0"/>
              <w:bottom w:val="single" w:color="auto" w:sz="4" w:space="0"/>
              <w:right w:val="single" w:color="auto" w:sz="4" w:space="0"/>
            </w:tcBorders>
            <w:noWrap w:val="0"/>
            <w:vAlign w:val="center"/>
          </w:tcPr>
          <w:p w14:paraId="5BD97DF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0.5</w:t>
            </w:r>
          </w:p>
        </w:tc>
        <w:tc>
          <w:tcPr>
            <w:tcW w:w="727" w:type="pct"/>
            <w:vMerge w:val="restart"/>
            <w:tcBorders>
              <w:top w:val="single" w:color="auto" w:sz="4" w:space="0"/>
              <w:left w:val="single" w:color="auto" w:sz="4" w:space="0"/>
              <w:bottom w:val="single" w:color="auto" w:sz="4" w:space="0"/>
              <w:right w:val="single" w:color="auto" w:sz="4" w:space="0"/>
            </w:tcBorders>
            <w:noWrap w:val="0"/>
            <w:vAlign w:val="center"/>
          </w:tcPr>
          <w:p w14:paraId="3EC3A47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0.4</w:t>
            </w:r>
          </w:p>
        </w:tc>
        <w:tc>
          <w:tcPr>
            <w:tcW w:w="865" w:type="pct"/>
            <w:vMerge w:val="restart"/>
            <w:tcBorders>
              <w:top w:val="single" w:color="auto" w:sz="4" w:space="0"/>
              <w:left w:val="single" w:color="auto" w:sz="4" w:space="0"/>
              <w:bottom w:val="single" w:color="auto" w:sz="4" w:space="0"/>
              <w:right w:val="single" w:color="auto" w:sz="4" w:space="0"/>
            </w:tcBorders>
            <w:noWrap w:val="0"/>
            <w:vAlign w:val="center"/>
          </w:tcPr>
          <w:p w14:paraId="0E9C594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0.3</w:t>
            </w:r>
          </w:p>
        </w:tc>
      </w:tr>
      <w:tr w14:paraId="67924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50A4D910">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208C60A2">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500&lt;M≤1000</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082F47D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4.0</w:t>
            </w:r>
          </w:p>
        </w:tc>
        <w:tc>
          <w:tcPr>
            <w:tcW w:w="691" w:type="pct"/>
            <w:vMerge w:val="continue"/>
            <w:tcBorders>
              <w:top w:val="single" w:color="auto" w:sz="4" w:space="0"/>
              <w:left w:val="single" w:color="auto" w:sz="4" w:space="0"/>
              <w:bottom w:val="single" w:color="auto" w:sz="4" w:space="0"/>
              <w:right w:val="single" w:color="auto" w:sz="4" w:space="0"/>
            </w:tcBorders>
            <w:noWrap w:val="0"/>
            <w:vAlign w:val="center"/>
          </w:tcPr>
          <w:p w14:paraId="2FD8157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727" w:type="pct"/>
            <w:vMerge w:val="continue"/>
            <w:tcBorders>
              <w:top w:val="single" w:color="auto" w:sz="4" w:space="0"/>
              <w:left w:val="single" w:color="auto" w:sz="4" w:space="0"/>
              <w:bottom w:val="single" w:color="auto" w:sz="4" w:space="0"/>
              <w:right w:val="single" w:color="auto" w:sz="4" w:space="0"/>
            </w:tcBorders>
            <w:noWrap w:val="0"/>
            <w:vAlign w:val="center"/>
          </w:tcPr>
          <w:p w14:paraId="5DCA8B38">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865" w:type="pct"/>
            <w:vMerge w:val="continue"/>
            <w:tcBorders>
              <w:top w:val="single" w:color="auto" w:sz="4" w:space="0"/>
              <w:left w:val="single" w:color="auto" w:sz="4" w:space="0"/>
              <w:bottom w:val="single" w:color="auto" w:sz="4" w:space="0"/>
              <w:right w:val="single" w:color="auto" w:sz="4" w:space="0"/>
            </w:tcBorders>
            <w:noWrap w:val="0"/>
            <w:vAlign w:val="center"/>
          </w:tcPr>
          <w:p w14:paraId="569063CC">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r>
      <w:tr w14:paraId="4289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3E58F709">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54F836B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1000&lt;M≤3000</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31F1ADC0">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2.5</w:t>
            </w:r>
          </w:p>
        </w:tc>
        <w:tc>
          <w:tcPr>
            <w:tcW w:w="691" w:type="pct"/>
            <w:vMerge w:val="continue"/>
            <w:tcBorders>
              <w:top w:val="single" w:color="auto" w:sz="4" w:space="0"/>
              <w:left w:val="single" w:color="auto" w:sz="4" w:space="0"/>
              <w:bottom w:val="single" w:color="auto" w:sz="4" w:space="0"/>
              <w:right w:val="single" w:color="auto" w:sz="4" w:space="0"/>
            </w:tcBorders>
            <w:noWrap w:val="0"/>
            <w:vAlign w:val="center"/>
          </w:tcPr>
          <w:p w14:paraId="697A101C">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727" w:type="pct"/>
            <w:vMerge w:val="continue"/>
            <w:tcBorders>
              <w:top w:val="single" w:color="auto" w:sz="4" w:space="0"/>
              <w:left w:val="single" w:color="auto" w:sz="4" w:space="0"/>
              <w:bottom w:val="single" w:color="auto" w:sz="4" w:space="0"/>
              <w:right w:val="single" w:color="auto" w:sz="4" w:space="0"/>
            </w:tcBorders>
            <w:noWrap w:val="0"/>
            <w:vAlign w:val="center"/>
          </w:tcPr>
          <w:p w14:paraId="2F90561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865" w:type="pct"/>
            <w:vMerge w:val="continue"/>
            <w:tcBorders>
              <w:top w:val="single" w:color="auto" w:sz="4" w:space="0"/>
              <w:left w:val="single" w:color="auto" w:sz="4" w:space="0"/>
              <w:bottom w:val="single" w:color="auto" w:sz="4" w:space="0"/>
              <w:right w:val="single" w:color="auto" w:sz="4" w:space="0"/>
            </w:tcBorders>
            <w:noWrap w:val="0"/>
            <w:vAlign w:val="center"/>
          </w:tcPr>
          <w:p w14:paraId="4D001E14">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r>
      <w:tr w14:paraId="3110E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6A443A0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778846ED">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3000&lt;M≤5000</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43241A9C">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2.0</w:t>
            </w:r>
          </w:p>
        </w:tc>
        <w:tc>
          <w:tcPr>
            <w:tcW w:w="691" w:type="pct"/>
            <w:vMerge w:val="continue"/>
            <w:tcBorders>
              <w:top w:val="single" w:color="auto" w:sz="4" w:space="0"/>
              <w:left w:val="single" w:color="auto" w:sz="4" w:space="0"/>
              <w:bottom w:val="single" w:color="auto" w:sz="4" w:space="0"/>
              <w:right w:val="single" w:color="auto" w:sz="4" w:space="0"/>
            </w:tcBorders>
            <w:noWrap w:val="0"/>
            <w:vAlign w:val="center"/>
          </w:tcPr>
          <w:p w14:paraId="29F7DB72">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727" w:type="pct"/>
            <w:vMerge w:val="continue"/>
            <w:tcBorders>
              <w:top w:val="single" w:color="auto" w:sz="4" w:space="0"/>
              <w:left w:val="single" w:color="auto" w:sz="4" w:space="0"/>
              <w:bottom w:val="single" w:color="auto" w:sz="4" w:space="0"/>
              <w:right w:val="single" w:color="auto" w:sz="4" w:space="0"/>
            </w:tcBorders>
            <w:noWrap w:val="0"/>
            <w:vAlign w:val="center"/>
          </w:tcPr>
          <w:p w14:paraId="162A575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865" w:type="pct"/>
            <w:vMerge w:val="continue"/>
            <w:tcBorders>
              <w:top w:val="single" w:color="auto" w:sz="4" w:space="0"/>
              <w:left w:val="single" w:color="auto" w:sz="4" w:space="0"/>
              <w:bottom w:val="single" w:color="auto" w:sz="4" w:space="0"/>
              <w:right w:val="single" w:color="auto" w:sz="4" w:space="0"/>
            </w:tcBorders>
            <w:noWrap w:val="0"/>
            <w:vAlign w:val="center"/>
          </w:tcPr>
          <w:p w14:paraId="2616484F">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r>
      <w:tr w14:paraId="10D1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102C7E3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5785693C">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5000&lt;M≤10000</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0766114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1.5</w:t>
            </w:r>
          </w:p>
        </w:tc>
        <w:tc>
          <w:tcPr>
            <w:tcW w:w="691" w:type="pct"/>
            <w:vMerge w:val="continue"/>
            <w:tcBorders>
              <w:top w:val="single" w:color="auto" w:sz="4" w:space="0"/>
              <w:left w:val="single" w:color="auto" w:sz="4" w:space="0"/>
              <w:bottom w:val="single" w:color="auto" w:sz="4" w:space="0"/>
              <w:right w:val="single" w:color="auto" w:sz="4" w:space="0"/>
            </w:tcBorders>
            <w:noWrap w:val="0"/>
            <w:vAlign w:val="center"/>
          </w:tcPr>
          <w:p w14:paraId="72EA7023">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727" w:type="pct"/>
            <w:vMerge w:val="continue"/>
            <w:tcBorders>
              <w:top w:val="single" w:color="auto" w:sz="4" w:space="0"/>
              <w:left w:val="single" w:color="auto" w:sz="4" w:space="0"/>
              <w:bottom w:val="single" w:color="auto" w:sz="4" w:space="0"/>
              <w:right w:val="single" w:color="auto" w:sz="4" w:space="0"/>
            </w:tcBorders>
            <w:noWrap w:val="0"/>
            <w:vAlign w:val="center"/>
          </w:tcPr>
          <w:p w14:paraId="0547F832">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865" w:type="pct"/>
            <w:vMerge w:val="continue"/>
            <w:tcBorders>
              <w:top w:val="single" w:color="auto" w:sz="4" w:space="0"/>
              <w:left w:val="single" w:color="auto" w:sz="4" w:space="0"/>
              <w:bottom w:val="single" w:color="auto" w:sz="4" w:space="0"/>
              <w:right w:val="single" w:color="auto" w:sz="4" w:space="0"/>
            </w:tcBorders>
            <w:noWrap w:val="0"/>
            <w:vAlign w:val="center"/>
          </w:tcPr>
          <w:p w14:paraId="0886171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r>
      <w:tr w14:paraId="39360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509" w:type="pct"/>
            <w:tcBorders>
              <w:top w:val="single" w:color="auto" w:sz="4" w:space="0"/>
              <w:left w:val="single" w:color="auto" w:sz="4" w:space="0"/>
              <w:bottom w:val="single" w:color="auto" w:sz="4" w:space="0"/>
              <w:right w:val="single" w:color="auto" w:sz="4" w:space="0"/>
            </w:tcBorders>
            <w:noWrap w:val="0"/>
            <w:vAlign w:val="center"/>
          </w:tcPr>
          <w:p w14:paraId="7D446AAD">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w:t>
            </w:r>
          </w:p>
        </w:tc>
        <w:tc>
          <w:tcPr>
            <w:tcW w:w="1467" w:type="pct"/>
            <w:tcBorders>
              <w:top w:val="single" w:color="auto" w:sz="4" w:space="0"/>
              <w:left w:val="single" w:color="auto" w:sz="4" w:space="0"/>
              <w:bottom w:val="single" w:color="auto" w:sz="4" w:space="0"/>
              <w:right w:val="single" w:color="auto" w:sz="4" w:space="0"/>
            </w:tcBorders>
            <w:noWrap w:val="0"/>
            <w:vAlign w:val="center"/>
          </w:tcPr>
          <w:p w14:paraId="7513916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10000&lt;M</w:t>
            </w:r>
          </w:p>
        </w:tc>
        <w:tc>
          <w:tcPr>
            <w:tcW w:w="739" w:type="pct"/>
            <w:tcBorders>
              <w:top w:val="single" w:color="auto" w:sz="4" w:space="0"/>
              <w:left w:val="single" w:color="auto" w:sz="4" w:space="0"/>
              <w:bottom w:val="single" w:color="auto" w:sz="4" w:space="0"/>
              <w:right w:val="single" w:color="auto" w:sz="4" w:space="0"/>
            </w:tcBorders>
            <w:noWrap w:val="0"/>
            <w:vAlign w:val="center"/>
          </w:tcPr>
          <w:p w14:paraId="5E43B07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w:t>
            </w:r>
          </w:p>
        </w:tc>
        <w:tc>
          <w:tcPr>
            <w:tcW w:w="691" w:type="pct"/>
            <w:vMerge w:val="continue"/>
            <w:tcBorders>
              <w:top w:val="single" w:color="auto" w:sz="4" w:space="0"/>
              <w:left w:val="single" w:color="auto" w:sz="4" w:space="0"/>
              <w:bottom w:val="single" w:color="auto" w:sz="4" w:space="0"/>
              <w:right w:val="single" w:color="auto" w:sz="4" w:space="0"/>
            </w:tcBorders>
            <w:noWrap w:val="0"/>
            <w:vAlign w:val="center"/>
          </w:tcPr>
          <w:p w14:paraId="785AF8BE">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727" w:type="pct"/>
            <w:vMerge w:val="continue"/>
            <w:tcBorders>
              <w:top w:val="single" w:color="auto" w:sz="4" w:space="0"/>
              <w:left w:val="single" w:color="auto" w:sz="4" w:space="0"/>
              <w:bottom w:val="single" w:color="auto" w:sz="4" w:space="0"/>
              <w:right w:val="single" w:color="auto" w:sz="4" w:space="0"/>
            </w:tcBorders>
            <w:noWrap w:val="0"/>
            <w:vAlign w:val="center"/>
          </w:tcPr>
          <w:p w14:paraId="6159E61D">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c>
          <w:tcPr>
            <w:tcW w:w="865" w:type="pct"/>
            <w:vMerge w:val="continue"/>
            <w:tcBorders>
              <w:top w:val="single" w:color="auto" w:sz="4" w:space="0"/>
              <w:left w:val="single" w:color="auto" w:sz="4" w:space="0"/>
              <w:bottom w:val="single" w:color="auto" w:sz="4" w:space="0"/>
              <w:right w:val="single" w:color="auto" w:sz="4" w:space="0"/>
            </w:tcBorders>
            <w:noWrap w:val="0"/>
            <w:vAlign w:val="center"/>
          </w:tcPr>
          <w:p w14:paraId="53F0B453">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p>
        </w:tc>
      </w:tr>
    </w:tbl>
    <w:p w14:paraId="4337CA88">
      <w:pPr>
        <w:pStyle w:val="2"/>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注：本表使用差额定率累进法计算</w:t>
      </w:r>
    </w:p>
    <w:p w14:paraId="3E6C3141">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(三)第三方软件测试费</w:t>
      </w:r>
    </w:p>
    <w:p w14:paraId="17E15F69">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适用于项目完成后，专业的第三方测试机构受项目单位委托，按照有关规范和技术标准对项目进行验收测试、性能测试和安全性测试所收取的费用。</w:t>
      </w:r>
    </w:p>
    <w:p w14:paraId="0195C393">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第三方机构应出具测试报告，内容包括系统的功能检测、性能检测和源代码安全审查等。</w:t>
      </w:r>
    </w:p>
    <w:p w14:paraId="25FD883C">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第三方软件测试费按以下费率计取：</w:t>
      </w:r>
    </w:p>
    <w:p w14:paraId="6CEFF091">
      <w:pPr>
        <w:pStyle w:val="2"/>
        <w:keepNext w:val="0"/>
        <w:keepLines w:val="0"/>
        <w:pageBreakBefore w:val="0"/>
        <w:widowControl w:val="0"/>
        <w:kinsoku w:val="0"/>
        <w:wordWrap/>
        <w:overflowPunct w:val="0"/>
        <w:topLinePunct w:val="0"/>
        <w:autoSpaceDE/>
        <w:autoSpaceDN/>
        <w:bidi w:val="0"/>
        <w:adjustRightInd/>
        <w:snapToGrid/>
        <w:spacing w:before="40" w:beforeLines="0" w:afterLines="0" w:line="600" w:lineRule="exact"/>
        <w:ind w:left="1304" w:right="1421"/>
        <w:jc w:val="center"/>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第三方软件测试费计价表</w:t>
      </w:r>
    </w:p>
    <w:tbl>
      <w:tblPr>
        <w:tblStyle w:val="5"/>
        <w:tblW w:w="69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4380"/>
        <w:gridCol w:w="1692"/>
      </w:tblGrid>
      <w:tr w14:paraId="31432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2"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5777FDC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序号</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22179FA0">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项目直接建费(M)(万元)</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6F952FC7">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费率(%)</w:t>
            </w:r>
          </w:p>
        </w:tc>
      </w:tr>
      <w:tr w14:paraId="31753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3CA34250">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18457B64">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M≤500</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00951845">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2.0</w:t>
            </w:r>
          </w:p>
        </w:tc>
      </w:tr>
      <w:tr w14:paraId="0D89C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562E84C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474314AD">
            <w:pPr>
              <w:pStyle w:val="8"/>
              <w:keepNext w:val="0"/>
              <w:keepLines w:val="0"/>
              <w:pageBreakBefore w:val="0"/>
              <w:widowControl w:val="0"/>
              <w:tabs>
                <w:tab w:val="left" w:pos="837"/>
              </w:tabs>
              <w:kinsoku w:val="0"/>
              <w:wordWrap/>
              <w:overflowPunct w:val="0"/>
              <w:topLinePunct w:val="0"/>
              <w:autoSpaceDE/>
              <w:autoSpaceDN/>
              <w:bidi w:val="0"/>
              <w:adjustRightInd/>
              <w:snapToGrid/>
              <w:spacing w:beforeLines="0" w:afterLines="0" w:line="360" w:lineRule="exact"/>
              <w:ind w:right="0" w:rightChars="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500&lt;M≤1000</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6D754E28">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1.5</w:t>
            </w:r>
          </w:p>
        </w:tc>
      </w:tr>
      <w:tr w14:paraId="26BAD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7A12D115">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07C2BF0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1000&lt;M≤3000</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17DB24D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l.0</w:t>
            </w:r>
          </w:p>
        </w:tc>
      </w:tr>
      <w:tr w14:paraId="6A553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1A4DDA4F">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6AD8FE78">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3000&lt;M≤5000</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19F07383">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0.8</w:t>
            </w:r>
          </w:p>
        </w:tc>
      </w:tr>
      <w:tr w14:paraId="600BF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1C96FCC0">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266DD273">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rightChars="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5000&lt;M≤10000</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29D9A881">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0.5</w:t>
            </w:r>
          </w:p>
        </w:tc>
      </w:tr>
      <w:tr w14:paraId="0936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4" w:hRule="atLeast"/>
          <w:jc w:val="center"/>
        </w:trPr>
        <w:tc>
          <w:tcPr>
            <w:tcW w:w="900" w:type="dxa"/>
            <w:tcBorders>
              <w:top w:val="single" w:color="000000" w:sz="8" w:space="0"/>
              <w:left w:val="single" w:color="000000" w:sz="8" w:space="0"/>
              <w:bottom w:val="single" w:color="000000" w:sz="8" w:space="0"/>
              <w:right w:val="single" w:color="000000" w:sz="8" w:space="0"/>
            </w:tcBorders>
            <w:noWrap w:val="0"/>
            <w:vAlign w:val="center"/>
          </w:tcPr>
          <w:p w14:paraId="2E88BEFF">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w:t>
            </w:r>
          </w:p>
        </w:tc>
        <w:tc>
          <w:tcPr>
            <w:tcW w:w="4380" w:type="dxa"/>
            <w:tcBorders>
              <w:top w:val="single" w:color="000000" w:sz="8" w:space="0"/>
              <w:left w:val="single" w:color="000000" w:sz="8" w:space="0"/>
              <w:bottom w:val="single" w:color="000000" w:sz="8" w:space="0"/>
              <w:right w:val="single" w:color="000000" w:sz="8" w:space="0"/>
            </w:tcBorders>
            <w:noWrap w:val="0"/>
            <w:vAlign w:val="center"/>
          </w:tcPr>
          <w:p w14:paraId="4F2DD61B">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10000&lt;M</w:t>
            </w:r>
          </w:p>
        </w:tc>
        <w:tc>
          <w:tcPr>
            <w:tcW w:w="1692" w:type="dxa"/>
            <w:tcBorders>
              <w:top w:val="single" w:color="000000" w:sz="8" w:space="0"/>
              <w:left w:val="single" w:color="000000" w:sz="8" w:space="0"/>
              <w:bottom w:val="single" w:color="000000" w:sz="8" w:space="0"/>
              <w:right w:val="single" w:color="000000" w:sz="8" w:space="0"/>
            </w:tcBorders>
            <w:noWrap w:val="0"/>
            <w:vAlign w:val="center"/>
          </w:tcPr>
          <w:p w14:paraId="7F6908AF">
            <w:pPr>
              <w:pStyle w:val="8"/>
              <w:keepNext w:val="0"/>
              <w:keepLines w:val="0"/>
              <w:pageBreakBefore w:val="0"/>
              <w:widowControl w:val="0"/>
              <w:kinsoku w:val="0"/>
              <w:wordWrap/>
              <w:overflowPunct w:val="0"/>
              <w:topLinePunct w:val="0"/>
              <w:autoSpaceDE/>
              <w:autoSpaceDN/>
              <w:bidi w:val="0"/>
              <w:adjustRightInd/>
              <w:snapToGrid/>
              <w:spacing w:beforeLines="0" w:afterLines="0" w:line="360" w:lineRule="exact"/>
              <w:ind w:right="0"/>
              <w:jc w:val="center"/>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0.3</w:t>
            </w:r>
          </w:p>
        </w:tc>
      </w:tr>
    </w:tbl>
    <w:p w14:paraId="6605A79D">
      <w:pPr>
        <w:pStyle w:val="2"/>
        <w:keepNext w:val="0"/>
        <w:keepLines w:val="0"/>
        <w:pageBreakBefore w:val="0"/>
        <w:widowControl w:val="0"/>
        <w:kinsoku w:val="0"/>
        <w:wordWrap/>
        <w:overflowPunct w:val="0"/>
        <w:topLinePunct w:val="0"/>
        <w:autoSpaceDE/>
        <w:autoSpaceDN/>
        <w:bidi w:val="0"/>
        <w:adjustRightInd/>
        <w:snapToGrid/>
        <w:spacing w:beforeLines="0" w:afterLines="0" w:line="360" w:lineRule="exact"/>
        <w:ind w:left="0" w:leftChars="0" w:right="0" w:firstLine="720" w:firstLineChars="3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注：本表采用差额定率累进法计算</w:t>
      </w:r>
    </w:p>
    <w:p w14:paraId="0D01FE47">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(四)等级保护测评费</w:t>
      </w:r>
    </w:p>
    <w:p w14:paraId="28185431">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适用于测评机构依据国家信息安全等级保护的规定，受项目单位委托，按照有关规范和技术标准对信息系统安全等级保护现状进行检测评估所收取的费用。</w:t>
      </w:r>
    </w:p>
    <w:p w14:paraId="08CD4BD5">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等级保护测评的交付成果是测评机构在测评完成后提供测评报告及公安部门的备案证明。</w:t>
      </w:r>
    </w:p>
    <w:p w14:paraId="4461E911">
      <w:pPr>
        <w:keepNext w:val="0"/>
        <w:keepLines w:val="0"/>
        <w:pageBreakBefore w:val="0"/>
        <w:widowControl w:val="0"/>
        <w:wordWrap/>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等级保护测评费以系统为单位计费，若项目单位有多个存量系统，应对存量系统进行整合，统筹安排等级保护测评工作。</w:t>
      </w:r>
    </w:p>
    <w:p w14:paraId="4E5CBDCF">
      <w:pPr>
        <w:keepNext w:val="0"/>
        <w:keepLines w:val="0"/>
        <w:pageBreakBefore w:val="0"/>
        <w:widowControl w:val="0"/>
        <w:wordWrap/>
        <w:topLinePunct w:val="0"/>
        <w:autoSpaceDE/>
        <w:autoSpaceDN/>
        <w:bidi w:val="0"/>
        <w:adjustRightInd/>
        <w:snapToGrid/>
        <w:spacing w:line="600" w:lineRule="exact"/>
        <w:ind w:left="638" w:leftChars="304" w:firstLine="0" w:firstLineChars="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等级保护测评费=系统个数×收费基数×调整系数等级保护测评费按以下费率计取：</w:t>
      </w:r>
    </w:p>
    <w:p w14:paraId="13C66CB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8"/>
          <w:szCs w:val="28"/>
          <w:highlight w:val="none"/>
          <w:lang w:val="en-US" w:eastAsia="zh-CN"/>
        </w:rPr>
        <w:t>等级保护测评费用计价表</w:t>
      </w:r>
    </w:p>
    <w:tbl>
      <w:tblPr>
        <w:tblStyle w:val="5"/>
        <w:tblW w:w="8323" w:type="dxa"/>
        <w:jc w:val="center"/>
        <w:tblLayout w:type="autofit"/>
        <w:tblCellMar>
          <w:top w:w="0" w:type="dxa"/>
          <w:left w:w="10" w:type="dxa"/>
          <w:bottom w:w="0" w:type="dxa"/>
          <w:right w:w="10" w:type="dxa"/>
        </w:tblCellMar>
      </w:tblPr>
      <w:tblGrid>
        <w:gridCol w:w="2043"/>
        <w:gridCol w:w="2719"/>
        <w:gridCol w:w="698"/>
        <w:gridCol w:w="868"/>
        <w:gridCol w:w="868"/>
        <w:gridCol w:w="1127"/>
      </w:tblGrid>
      <w:tr w14:paraId="483B49AF">
        <w:trPr>
          <w:trHeight w:val="0" w:hRule="atLeast"/>
          <w:tblHeader/>
          <w:jc w:val="center"/>
        </w:trPr>
        <w:tc>
          <w:tcPr>
            <w:tcW w:w="0" w:type="auto"/>
            <w:vMerge w:val="restart"/>
            <w:tcBorders>
              <w:top w:val="single" w:color="auto" w:sz="12" w:space="0"/>
              <w:left w:val="single" w:color="auto" w:sz="12" w:space="0"/>
              <w:bottom w:val="nil"/>
              <w:right w:val="nil"/>
            </w:tcBorders>
            <w:shd w:val="clear" w:color="auto" w:fill="FFFFFF"/>
            <w:noWrap w:val="0"/>
            <w:tcMar>
              <w:top w:w="-1" w:type="dxa"/>
              <w:left w:w="-1" w:type="dxa"/>
              <w:bottom w:w="-1" w:type="dxa"/>
              <w:right w:w="-1" w:type="dxa"/>
            </w:tcMar>
            <w:vAlign w:val="center"/>
          </w:tcPr>
          <w:p w14:paraId="339E242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信息系统等级</w:t>
            </w:r>
          </w:p>
        </w:tc>
        <w:tc>
          <w:tcPr>
            <w:tcW w:w="0" w:type="auto"/>
            <w:vMerge w:val="restart"/>
            <w:tcBorders>
              <w:top w:val="single" w:color="auto" w:sz="12" w:space="0"/>
              <w:left w:val="single" w:color="auto" w:sz="4" w:space="0"/>
              <w:bottom w:val="nil"/>
              <w:right w:val="nil"/>
            </w:tcBorders>
            <w:shd w:val="clear" w:color="auto" w:fill="FFFFFF"/>
            <w:noWrap w:val="0"/>
            <w:tcMar>
              <w:top w:w="-1" w:type="dxa"/>
              <w:left w:w="-1" w:type="dxa"/>
              <w:bottom w:w="-1" w:type="dxa"/>
              <w:right w:w="-1" w:type="dxa"/>
            </w:tcMar>
            <w:vAlign w:val="center"/>
          </w:tcPr>
          <w:p w14:paraId="1F5CEA2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收费基数(万元)</w:t>
            </w:r>
          </w:p>
        </w:tc>
        <w:tc>
          <w:tcPr>
            <w:tcW w:w="3561" w:type="dxa"/>
            <w:gridSpan w:val="4"/>
            <w:tcBorders>
              <w:top w:val="single" w:color="auto" w:sz="12" w:space="0"/>
              <w:left w:val="single" w:color="auto" w:sz="4" w:space="0"/>
              <w:bottom w:val="nil"/>
              <w:right w:val="single" w:color="auto" w:sz="12" w:space="0"/>
            </w:tcBorders>
            <w:shd w:val="clear" w:color="auto" w:fill="FFFFFF"/>
            <w:noWrap w:val="0"/>
            <w:tcMar>
              <w:top w:w="-1" w:type="dxa"/>
              <w:left w:w="-1" w:type="dxa"/>
              <w:bottom w:w="-1" w:type="dxa"/>
              <w:right w:w="-1" w:type="dxa"/>
            </w:tcMar>
            <w:vAlign w:val="center"/>
          </w:tcPr>
          <w:p w14:paraId="73134DB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调整系数(系统个数)</w:t>
            </w:r>
          </w:p>
        </w:tc>
      </w:tr>
      <w:tr w14:paraId="3A44AE63">
        <w:trPr>
          <w:trHeight w:val="0" w:hRule="atLeast"/>
          <w:tblHeader/>
          <w:jc w:val="center"/>
        </w:trPr>
        <w:tc>
          <w:tcPr>
            <w:tcW w:w="0" w:type="auto"/>
            <w:vMerge w:val="continue"/>
            <w:tcBorders>
              <w:top w:val="single" w:color="auto" w:sz="4" w:space="0"/>
              <w:left w:val="single" w:color="auto" w:sz="12" w:space="0"/>
              <w:bottom w:val="nil"/>
              <w:right w:val="nil"/>
            </w:tcBorders>
            <w:shd w:val="clear" w:color="auto" w:fill="FFFFFF"/>
            <w:noWrap w:val="0"/>
            <w:tcMar>
              <w:top w:w="-1" w:type="dxa"/>
              <w:left w:w="-1" w:type="dxa"/>
              <w:bottom w:w="-1" w:type="dxa"/>
              <w:right w:w="-1" w:type="dxa"/>
            </w:tcMar>
            <w:vAlign w:val="center"/>
          </w:tcPr>
          <w:p w14:paraId="2BC0BD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p>
        </w:tc>
        <w:tc>
          <w:tcPr>
            <w:tcW w:w="0" w:type="auto"/>
            <w:vMerge w:val="continue"/>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2188042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p>
        </w:tc>
        <w:tc>
          <w:tcPr>
            <w:tcW w:w="698" w:type="dxa"/>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6F22C1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5-10</w:t>
            </w:r>
          </w:p>
        </w:tc>
        <w:tc>
          <w:tcPr>
            <w:tcW w:w="868" w:type="dxa"/>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29EF7CC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11-30</w:t>
            </w:r>
          </w:p>
        </w:tc>
        <w:tc>
          <w:tcPr>
            <w:tcW w:w="868" w:type="dxa"/>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5590D0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31-50</w:t>
            </w:r>
          </w:p>
        </w:tc>
        <w:tc>
          <w:tcPr>
            <w:tcW w:w="1127" w:type="dxa"/>
            <w:tcBorders>
              <w:top w:val="single" w:color="auto" w:sz="4" w:space="0"/>
              <w:left w:val="single" w:color="auto" w:sz="4" w:space="0"/>
              <w:bottom w:val="nil"/>
              <w:right w:val="single" w:color="auto" w:sz="12" w:space="0"/>
            </w:tcBorders>
            <w:shd w:val="clear" w:color="auto" w:fill="FFFFFF"/>
            <w:noWrap w:val="0"/>
            <w:tcMar>
              <w:top w:w="-1" w:type="dxa"/>
              <w:left w:w="-1" w:type="dxa"/>
              <w:bottom w:w="-1" w:type="dxa"/>
              <w:right w:w="-1" w:type="dxa"/>
            </w:tcMar>
            <w:vAlign w:val="center"/>
          </w:tcPr>
          <w:p w14:paraId="2AC736D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50以上</w:t>
            </w:r>
          </w:p>
        </w:tc>
      </w:tr>
      <w:tr w14:paraId="0CB7848E">
        <w:trPr>
          <w:trHeight w:val="0" w:hRule="atLeast"/>
          <w:jc w:val="center"/>
        </w:trPr>
        <w:tc>
          <w:tcPr>
            <w:tcW w:w="0" w:type="auto"/>
            <w:tcBorders>
              <w:top w:val="single" w:color="auto" w:sz="4" w:space="0"/>
              <w:left w:val="single" w:color="auto" w:sz="12" w:space="0"/>
              <w:bottom w:val="nil"/>
              <w:right w:val="nil"/>
            </w:tcBorders>
            <w:shd w:val="clear" w:color="auto" w:fill="FFFFFF"/>
            <w:noWrap w:val="0"/>
            <w:tcMar>
              <w:top w:w="-1" w:type="dxa"/>
              <w:left w:w="-1" w:type="dxa"/>
              <w:bottom w:w="-1" w:type="dxa"/>
              <w:right w:w="-1" w:type="dxa"/>
            </w:tcMar>
            <w:vAlign w:val="center"/>
          </w:tcPr>
          <w:p w14:paraId="3C041BF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二级</w:t>
            </w:r>
          </w:p>
        </w:tc>
        <w:tc>
          <w:tcPr>
            <w:tcW w:w="0" w:type="auto"/>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46D09A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698" w:type="dxa"/>
            <w:vMerge w:val="restart"/>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7FF575F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0.85</w:t>
            </w:r>
          </w:p>
        </w:tc>
        <w:tc>
          <w:tcPr>
            <w:tcW w:w="868" w:type="dxa"/>
            <w:vMerge w:val="restart"/>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0BB11A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0.75</w:t>
            </w:r>
          </w:p>
        </w:tc>
        <w:tc>
          <w:tcPr>
            <w:tcW w:w="868" w:type="dxa"/>
            <w:vMerge w:val="restart"/>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3D23E75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0.65</w:t>
            </w:r>
          </w:p>
        </w:tc>
        <w:tc>
          <w:tcPr>
            <w:tcW w:w="1127" w:type="dxa"/>
            <w:vMerge w:val="restart"/>
            <w:tcBorders>
              <w:top w:val="single" w:color="auto" w:sz="4" w:space="0"/>
              <w:left w:val="single" w:color="auto" w:sz="4" w:space="0"/>
              <w:bottom w:val="nil"/>
              <w:right w:val="single" w:color="auto" w:sz="12" w:space="0"/>
            </w:tcBorders>
            <w:shd w:val="clear" w:color="auto" w:fill="FFFFFF"/>
            <w:noWrap w:val="0"/>
            <w:tcMar>
              <w:top w:w="-1" w:type="dxa"/>
              <w:left w:w="-1" w:type="dxa"/>
              <w:bottom w:w="-1" w:type="dxa"/>
              <w:right w:w="-1" w:type="dxa"/>
            </w:tcMar>
            <w:vAlign w:val="center"/>
          </w:tcPr>
          <w:p w14:paraId="16A7A3A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w:t>
            </w:r>
          </w:p>
        </w:tc>
      </w:tr>
      <w:tr w14:paraId="71B94F8A">
        <w:trPr>
          <w:trHeight w:val="0" w:hRule="atLeast"/>
          <w:jc w:val="center"/>
        </w:trPr>
        <w:tc>
          <w:tcPr>
            <w:tcW w:w="0" w:type="auto"/>
            <w:tcBorders>
              <w:top w:val="single" w:color="auto" w:sz="4" w:space="0"/>
              <w:left w:val="single" w:color="auto" w:sz="12" w:space="0"/>
              <w:bottom w:val="nil"/>
              <w:right w:val="nil"/>
            </w:tcBorders>
            <w:shd w:val="clear" w:color="auto" w:fill="FFFFFF"/>
            <w:noWrap w:val="0"/>
            <w:tcMar>
              <w:top w:w="-1" w:type="dxa"/>
              <w:left w:w="-1" w:type="dxa"/>
              <w:bottom w:w="-1" w:type="dxa"/>
              <w:right w:w="-1" w:type="dxa"/>
            </w:tcMar>
            <w:vAlign w:val="center"/>
          </w:tcPr>
          <w:p w14:paraId="2DD1B74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三级</w:t>
            </w:r>
          </w:p>
        </w:tc>
        <w:tc>
          <w:tcPr>
            <w:tcW w:w="0" w:type="auto"/>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7A444F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98" w:type="dxa"/>
            <w:vMerge w:val="continue"/>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7ABB995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p>
        </w:tc>
        <w:tc>
          <w:tcPr>
            <w:tcW w:w="868" w:type="dxa"/>
            <w:vMerge w:val="continue"/>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7423973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p>
        </w:tc>
        <w:tc>
          <w:tcPr>
            <w:tcW w:w="868" w:type="dxa"/>
            <w:vMerge w:val="continue"/>
            <w:tcBorders>
              <w:top w:val="single" w:color="auto" w:sz="4" w:space="0"/>
              <w:left w:val="single" w:color="auto" w:sz="4" w:space="0"/>
              <w:bottom w:val="nil"/>
              <w:right w:val="nil"/>
            </w:tcBorders>
            <w:shd w:val="clear" w:color="auto" w:fill="FFFFFF"/>
            <w:noWrap w:val="0"/>
            <w:tcMar>
              <w:top w:w="-1" w:type="dxa"/>
              <w:left w:w="-1" w:type="dxa"/>
              <w:bottom w:w="-1" w:type="dxa"/>
              <w:right w:w="-1" w:type="dxa"/>
            </w:tcMar>
            <w:vAlign w:val="center"/>
          </w:tcPr>
          <w:p w14:paraId="55EAAB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p>
        </w:tc>
        <w:tc>
          <w:tcPr>
            <w:tcW w:w="1127" w:type="dxa"/>
            <w:vMerge w:val="continue"/>
            <w:tcBorders>
              <w:top w:val="single" w:color="auto" w:sz="4" w:space="0"/>
              <w:left w:val="single" w:color="auto" w:sz="4" w:space="0"/>
              <w:bottom w:val="nil"/>
              <w:right w:val="single" w:color="auto" w:sz="12" w:space="0"/>
            </w:tcBorders>
            <w:shd w:val="clear" w:color="auto" w:fill="FFFFFF"/>
            <w:noWrap w:val="0"/>
            <w:tcMar>
              <w:top w:w="-1" w:type="dxa"/>
              <w:left w:w="-1" w:type="dxa"/>
              <w:bottom w:w="-1" w:type="dxa"/>
              <w:right w:w="-1" w:type="dxa"/>
            </w:tcMar>
            <w:vAlign w:val="center"/>
          </w:tcPr>
          <w:p w14:paraId="4EAC0DA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en-US"/>
              </w:rPr>
            </w:pPr>
          </w:p>
        </w:tc>
      </w:tr>
      <w:tr w14:paraId="72A2CD74">
        <w:trPr>
          <w:trHeight w:val="0" w:hRule="atLeast"/>
          <w:jc w:val="center"/>
        </w:trPr>
        <w:tc>
          <w:tcPr>
            <w:tcW w:w="2043" w:type="dxa"/>
            <w:tcBorders>
              <w:top w:val="single" w:color="auto" w:sz="4" w:space="0"/>
              <w:left w:val="single" w:color="auto" w:sz="12" w:space="0"/>
              <w:bottom w:val="single" w:color="auto" w:sz="12" w:space="0"/>
              <w:right w:val="nil"/>
            </w:tcBorders>
            <w:shd w:val="clear" w:color="auto" w:fill="FFFFFF"/>
            <w:noWrap w:val="0"/>
            <w:tcMar>
              <w:top w:w="-1" w:type="dxa"/>
              <w:left w:w="-1" w:type="dxa"/>
              <w:bottom w:w="-1" w:type="dxa"/>
              <w:right w:w="-1" w:type="dxa"/>
            </w:tcMar>
            <w:vAlign w:val="center"/>
          </w:tcPr>
          <w:p w14:paraId="59245A9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四级</w:t>
            </w:r>
          </w:p>
        </w:tc>
        <w:tc>
          <w:tcPr>
            <w:tcW w:w="2719" w:type="dxa"/>
            <w:tcBorders>
              <w:top w:val="single" w:color="auto" w:sz="4" w:space="0"/>
              <w:left w:val="single" w:color="auto" w:sz="4" w:space="0"/>
              <w:bottom w:val="single" w:color="auto" w:sz="12" w:space="0"/>
              <w:right w:val="nil"/>
            </w:tcBorders>
            <w:shd w:val="clear" w:color="auto" w:fill="FFFFFF"/>
            <w:noWrap w:val="0"/>
            <w:tcMar>
              <w:top w:w="-1" w:type="dxa"/>
              <w:left w:w="-1" w:type="dxa"/>
              <w:bottom w:w="-1" w:type="dxa"/>
              <w:right w:w="-1" w:type="dxa"/>
            </w:tcMar>
            <w:vAlign w:val="center"/>
          </w:tcPr>
          <w:p w14:paraId="00FC8E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根据实际情况核定</w:t>
            </w:r>
          </w:p>
        </w:tc>
        <w:tc>
          <w:tcPr>
            <w:tcW w:w="3561" w:type="dxa"/>
            <w:gridSpan w:val="4"/>
            <w:tcBorders>
              <w:top w:val="single" w:color="auto" w:sz="4" w:space="0"/>
              <w:left w:val="single" w:color="auto" w:sz="4" w:space="0"/>
              <w:bottom w:val="single" w:color="auto" w:sz="12" w:space="0"/>
              <w:right w:val="single" w:color="auto" w:sz="12" w:space="0"/>
            </w:tcBorders>
            <w:shd w:val="clear" w:color="auto" w:fill="FFFFFF"/>
            <w:noWrap w:val="0"/>
            <w:tcMar>
              <w:top w:w="-1" w:type="dxa"/>
              <w:left w:w="-1" w:type="dxa"/>
              <w:bottom w:w="-1" w:type="dxa"/>
              <w:right w:w="-1" w:type="dxa"/>
            </w:tcMar>
            <w:vAlign w:val="center"/>
          </w:tcPr>
          <w:p w14:paraId="07B3941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 w:hAnsi="仿宋" w:eastAsia="仿宋" w:cs="仿宋"/>
                <w:sz w:val="24"/>
                <w:szCs w:val="24"/>
                <w:highlight w:val="none"/>
                <w:lang w:val="en-US" w:eastAsia="en-US"/>
              </w:rPr>
            </w:pPr>
          </w:p>
        </w:tc>
      </w:tr>
    </w:tbl>
    <w:p w14:paraId="3BF7F5DA">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注：调整系数(系统个数)是项目单位需要执行等级保护测评工作的系统数量</w:t>
      </w:r>
    </w:p>
    <w:p w14:paraId="3BA764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(五)商用密码应用安全性评估费</w:t>
      </w:r>
    </w:p>
    <w:p w14:paraId="19A1D8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指在采用商用密码技术、产品和服务集成建设的网络和信息系统中，对其密码应用的合规性、正确性和有效性进行评估。</w:t>
      </w:r>
    </w:p>
    <w:p w14:paraId="614926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商用密码应用安全性评估的交付成果是测评机构在测评完成后提供测评报告及备案证明。</w:t>
      </w:r>
    </w:p>
    <w:p w14:paraId="3864C9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商用密码应用安全性评估费以系统为单位计费，若项目单位有多个存量系统时，应从紧从严对存量系统进行整合，结合预算标准及调整系数，统筹申报。</w:t>
      </w:r>
    </w:p>
    <w:p w14:paraId="02EC46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商用密码应用安全性评估费=系统个数×收费基数×调整系数</w:t>
      </w:r>
    </w:p>
    <w:p w14:paraId="0369C0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商用密码应用安全性评估费按以下费率计取：</w:t>
      </w:r>
    </w:p>
    <w:p w14:paraId="6F834424">
      <w:pPr>
        <w:keepNext w:val="0"/>
        <w:keepLines w:val="0"/>
        <w:pageBreakBefore w:val="0"/>
        <w:widowControl w:val="0"/>
        <w:wordWrap/>
        <w:topLinePunct w:val="0"/>
        <w:autoSpaceDE/>
        <w:autoSpaceDN/>
        <w:bidi w:val="0"/>
        <w:adjustRightInd/>
        <w:snapToGrid/>
        <w:spacing w:line="600" w:lineRule="exact"/>
        <w:jc w:val="center"/>
        <w:textAlignment w:val="auto"/>
        <w:rPr>
          <w:rFonts w:hint="eastAsia" w:ascii="仿宋" w:hAnsi="仿宋" w:eastAsia="仿宋" w:cs="仿宋"/>
          <w:sz w:val="32"/>
          <w:szCs w:val="32"/>
          <w:highlight w:val="none"/>
          <w:lang w:val="en-US" w:eastAsia="zh-CN"/>
        </w:rPr>
      </w:pPr>
      <w:r>
        <w:rPr>
          <w:rFonts w:hint="eastAsia" w:ascii="仿宋" w:hAnsi="仿宋" w:eastAsia="仿宋" w:cs="仿宋"/>
          <w:sz w:val="28"/>
          <w:szCs w:val="28"/>
          <w:highlight w:val="none"/>
          <w:lang w:val="en-US" w:eastAsia="zh-CN"/>
        </w:rPr>
        <w:t>商用密码应用安全性评估费用计价表</w:t>
      </w:r>
    </w:p>
    <w:tbl>
      <w:tblPr>
        <w:tblStyle w:val="5"/>
        <w:tblW w:w="7753" w:type="dxa"/>
        <w:jc w:val="center"/>
        <w:tblLayout w:type="fixed"/>
        <w:tblCellMar>
          <w:top w:w="0" w:type="dxa"/>
          <w:left w:w="10" w:type="dxa"/>
          <w:bottom w:w="0" w:type="dxa"/>
          <w:right w:w="10" w:type="dxa"/>
        </w:tblCellMar>
      </w:tblPr>
      <w:tblGrid>
        <w:gridCol w:w="2172"/>
        <w:gridCol w:w="1317"/>
        <w:gridCol w:w="904"/>
        <w:gridCol w:w="1152"/>
        <w:gridCol w:w="1044"/>
        <w:gridCol w:w="1164"/>
      </w:tblGrid>
      <w:tr w14:paraId="1289C15D">
        <w:trPr>
          <w:trHeight w:val="431" w:hRule="atLeast"/>
          <w:jc w:val="center"/>
        </w:trPr>
        <w:tc>
          <w:tcPr>
            <w:tcW w:w="217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8F31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商用密码应用安全性评估等级</w:t>
            </w:r>
          </w:p>
        </w:tc>
        <w:tc>
          <w:tcPr>
            <w:tcW w:w="131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23B0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收费基数（万元）</w:t>
            </w:r>
          </w:p>
        </w:tc>
        <w:tc>
          <w:tcPr>
            <w:tcW w:w="426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D8CDE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调整系数（系统个数）</w:t>
            </w:r>
          </w:p>
        </w:tc>
      </w:tr>
      <w:tr w14:paraId="1762DC23">
        <w:trPr>
          <w:trHeight w:val="431" w:hRule="atLeast"/>
          <w:jc w:val="center"/>
        </w:trPr>
        <w:tc>
          <w:tcPr>
            <w:tcW w:w="217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404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31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F145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904" w:type="dxa"/>
            <w:tcBorders>
              <w:top w:val="single" w:color="auto" w:sz="4" w:space="0"/>
              <w:left w:val="single" w:color="auto" w:sz="4" w:space="0"/>
              <w:bottom w:val="single" w:color="auto" w:sz="4" w:space="0"/>
              <w:right w:val="single" w:color="auto" w:sz="4" w:space="0"/>
            </w:tcBorders>
            <w:shd w:val="clear" w:color="auto" w:fill="FFFFFF"/>
            <w:vAlign w:val="center"/>
          </w:tcPr>
          <w:p w14:paraId="2E88CAB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5-10</w:t>
            </w: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2B3C3EC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11-30</w:t>
            </w:r>
          </w:p>
        </w:tc>
        <w:tc>
          <w:tcPr>
            <w:tcW w:w="1044" w:type="dxa"/>
            <w:tcBorders>
              <w:top w:val="single" w:color="auto" w:sz="4" w:space="0"/>
              <w:left w:val="single" w:color="auto" w:sz="4" w:space="0"/>
              <w:bottom w:val="single" w:color="auto" w:sz="4" w:space="0"/>
              <w:right w:val="single" w:color="auto" w:sz="4" w:space="0"/>
            </w:tcBorders>
            <w:shd w:val="clear" w:color="auto" w:fill="FFFFFF"/>
            <w:vAlign w:val="center"/>
          </w:tcPr>
          <w:p w14:paraId="27CAC08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31-50</w:t>
            </w:r>
          </w:p>
        </w:tc>
        <w:tc>
          <w:tcPr>
            <w:tcW w:w="1164" w:type="dxa"/>
            <w:tcBorders>
              <w:top w:val="single" w:color="auto" w:sz="4" w:space="0"/>
              <w:left w:val="single" w:color="auto" w:sz="4" w:space="0"/>
              <w:bottom w:val="single" w:color="auto" w:sz="4" w:space="0"/>
              <w:right w:val="single" w:color="auto" w:sz="4" w:space="0"/>
            </w:tcBorders>
            <w:shd w:val="clear" w:color="auto" w:fill="FFFFFF"/>
            <w:vAlign w:val="center"/>
          </w:tcPr>
          <w:p w14:paraId="20C3614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50以上</w:t>
            </w:r>
          </w:p>
        </w:tc>
      </w:tr>
      <w:tr w14:paraId="5655BEA9">
        <w:trPr>
          <w:trHeight w:val="438" w:hRule="atLeast"/>
          <w:jc w:val="center"/>
        </w:trPr>
        <w:tc>
          <w:tcPr>
            <w:tcW w:w="2172" w:type="dxa"/>
            <w:tcBorders>
              <w:top w:val="single" w:color="auto" w:sz="4" w:space="0"/>
              <w:left w:val="single" w:color="auto" w:sz="4" w:space="0"/>
              <w:bottom w:val="single" w:color="auto" w:sz="4" w:space="0"/>
              <w:right w:val="single" w:color="auto" w:sz="4" w:space="0"/>
            </w:tcBorders>
            <w:shd w:val="clear" w:color="auto" w:fill="FFFFFF"/>
            <w:vAlign w:val="center"/>
          </w:tcPr>
          <w:p w14:paraId="2FA5622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二级</w:t>
            </w:r>
          </w:p>
        </w:tc>
        <w:tc>
          <w:tcPr>
            <w:tcW w:w="1317" w:type="dxa"/>
            <w:tcBorders>
              <w:top w:val="single" w:color="auto" w:sz="4" w:space="0"/>
              <w:left w:val="single" w:color="auto" w:sz="4" w:space="0"/>
              <w:bottom w:val="single" w:color="auto" w:sz="4" w:space="0"/>
              <w:right w:val="single" w:color="auto" w:sz="4" w:space="0"/>
            </w:tcBorders>
            <w:shd w:val="clear" w:color="auto" w:fill="FFFFFF"/>
            <w:vAlign w:val="center"/>
          </w:tcPr>
          <w:p w14:paraId="013F68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55B5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0.9</w:t>
            </w:r>
          </w:p>
        </w:tc>
        <w:tc>
          <w:tcPr>
            <w:tcW w:w="115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1FC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0.8</w:t>
            </w:r>
          </w:p>
        </w:tc>
        <w:tc>
          <w:tcPr>
            <w:tcW w:w="104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573A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0.7</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3241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w:t>
            </w:r>
          </w:p>
        </w:tc>
      </w:tr>
      <w:tr w14:paraId="0A7BF318">
        <w:trPr>
          <w:trHeight w:val="438" w:hRule="atLeast"/>
          <w:jc w:val="center"/>
        </w:trPr>
        <w:tc>
          <w:tcPr>
            <w:tcW w:w="2172" w:type="dxa"/>
            <w:tcBorders>
              <w:top w:val="single" w:color="auto" w:sz="4" w:space="0"/>
              <w:left w:val="single" w:color="auto" w:sz="4" w:space="0"/>
              <w:bottom w:val="single" w:color="auto" w:sz="4" w:space="0"/>
              <w:right w:val="single" w:color="auto" w:sz="4" w:space="0"/>
            </w:tcBorders>
            <w:shd w:val="clear" w:color="auto" w:fill="FFFFFF"/>
            <w:vAlign w:val="center"/>
          </w:tcPr>
          <w:p w14:paraId="73DB8D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三级</w:t>
            </w:r>
          </w:p>
        </w:tc>
        <w:tc>
          <w:tcPr>
            <w:tcW w:w="1317" w:type="dxa"/>
            <w:tcBorders>
              <w:top w:val="single" w:color="auto" w:sz="4" w:space="0"/>
              <w:left w:val="single" w:color="auto" w:sz="4" w:space="0"/>
              <w:bottom w:val="single" w:color="auto" w:sz="4" w:space="0"/>
              <w:right w:val="single" w:color="auto" w:sz="4" w:space="0"/>
            </w:tcBorders>
            <w:shd w:val="clear" w:color="auto" w:fill="FFFFFF"/>
            <w:vAlign w:val="center"/>
          </w:tcPr>
          <w:p w14:paraId="10E3126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904" w:type="dxa"/>
            <w:vMerge w:val="continue"/>
            <w:tcBorders>
              <w:top w:val="single" w:color="auto" w:sz="4" w:space="0"/>
              <w:left w:val="single" w:color="auto" w:sz="4" w:space="0"/>
              <w:bottom w:val="single" w:color="auto" w:sz="4" w:space="0"/>
            </w:tcBorders>
            <w:shd w:val="clear" w:color="auto" w:fill="FFFFFF"/>
            <w:vAlign w:val="center"/>
          </w:tcPr>
          <w:p w14:paraId="7AE0D76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52" w:type="dxa"/>
            <w:vMerge w:val="continue"/>
            <w:tcBorders>
              <w:top w:val="single" w:color="auto" w:sz="4" w:space="0"/>
              <w:left w:val="single" w:color="auto" w:sz="4" w:space="0"/>
              <w:bottom w:val="single" w:color="auto" w:sz="4" w:space="0"/>
            </w:tcBorders>
            <w:shd w:val="clear" w:color="auto" w:fill="FFFFFF"/>
            <w:vAlign w:val="center"/>
          </w:tcPr>
          <w:p w14:paraId="6347AF1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044" w:type="dxa"/>
            <w:vMerge w:val="continue"/>
            <w:tcBorders>
              <w:top w:val="single" w:color="auto" w:sz="4" w:space="0"/>
              <w:left w:val="single" w:color="auto" w:sz="4" w:space="0"/>
              <w:bottom w:val="single" w:color="auto" w:sz="4" w:space="0"/>
            </w:tcBorders>
            <w:shd w:val="clear" w:color="auto" w:fill="FFFFFF"/>
            <w:vAlign w:val="center"/>
          </w:tcPr>
          <w:p w14:paraId="5DA54E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6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C0E0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en-US"/>
              </w:rPr>
            </w:pPr>
          </w:p>
        </w:tc>
      </w:tr>
    </w:tbl>
    <w:p w14:paraId="7C51B09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8" w:leftChars="104"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注：调整系数（系统个数）是项目单位需要执行商用密码应用安全性评估工作的系统数量。</w:t>
      </w:r>
    </w:p>
    <w:p w14:paraId="425B686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六、附件清单</w:t>
      </w:r>
    </w:p>
    <w:p w14:paraId="1725834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(一)XX信息化项目建设方案</w:t>
      </w:r>
    </w:p>
    <w:p w14:paraId="789D14C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参照“二、信息系统建设项目预算编制”项目建设方案要求编写。</w:t>
      </w:r>
    </w:p>
    <w:p w14:paraId="2BA90BC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(二)XX信息化项目建设情况表</w:t>
      </w:r>
    </w:p>
    <w:p w14:paraId="3F95D39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表1：软硬件产品购置分项测算表</w:t>
      </w:r>
    </w:p>
    <w:p w14:paraId="637DFC4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表2：软件开发分项测算表（工作量估算法）</w:t>
      </w:r>
    </w:p>
    <w:p w14:paraId="746ABE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表3：其他费用分项测算表</w:t>
      </w:r>
    </w:p>
    <w:p w14:paraId="653C9C5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b w:val="0"/>
          <w:bCs w:val="0"/>
          <w:sz w:val="32"/>
          <w:szCs w:val="32"/>
          <w:highlight w:val="none"/>
          <w:lang w:val="en-US" w:eastAsia="zh-CN"/>
        </w:rPr>
        <w:t>表4：云资源租赁服务购置分项测算表</w:t>
      </w:r>
    </w:p>
    <w:p w14:paraId="79F6978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859" w:leftChars="-466" w:right="-1153" w:rightChars="-549" w:hanging="120" w:hangingChars="50"/>
        <w:jc w:val="left"/>
        <w:textAlignment w:val="auto"/>
        <w:rPr>
          <w:rFonts w:hint="default" w:ascii="仿宋_GB2312" w:hAnsi="仿宋_GB2312" w:eastAsia="仿宋_GB2312" w:cs="仿宋_GB2312"/>
          <w:b w:val="0"/>
          <w:bCs w:val="0"/>
          <w:sz w:val="24"/>
          <w:szCs w:val="24"/>
          <w:highlight w:val="none"/>
          <w:lang w:val="en-US" w:eastAsia="zh-CN"/>
        </w:rPr>
      </w:pPr>
      <w:bookmarkStart w:id="1" w:name="_GoBack"/>
      <w:bookmarkEnd w:id="1"/>
    </w:p>
    <w:p w14:paraId="30AACF64">
      <w:pPr>
        <w:rPr>
          <w:rFonts w:hint="default" w:ascii="仿宋" w:hAnsi="仿宋" w:eastAsia="仿宋" w:cs="仿宋"/>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251E3"/>
    <w:multiLevelType w:val="singleLevel"/>
    <w:tmpl w:val="17E251E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7F94D"/>
    <w:rsid w:val="766F6B34"/>
    <w:rsid w:val="7B57F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beforeLines="0" w:afterLines="0"/>
    </w:pPr>
    <w:rPr>
      <w:rFonts w:hint="eastAsia"/>
      <w:sz w:val="30"/>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unhideWhenUsed/>
    <w:qFormat/>
    <w:uiPriority w:val="1"/>
    <w:pPr>
      <w:spacing w:beforeLines="0" w:afterLines="0"/>
    </w:pPr>
    <w:rPr>
      <w:rFonts w:hint="eastAsia"/>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Office_12.1.23135.23135_F1E327BC-269C-435d-A152-05C5408002CA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2026-07-09T19:56:00Z</dcterms:created>
  <dc:creator>sr</dc:creator>
  <cp:lastModifiedBy>sr</cp:lastModifiedBy>
  <dcterms:modified xsi:type="dcterms:W3CDTF">2026-07-09T13:33:44Z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2052-12.1.23135.23135</vt:lpwstr>
  </property>
  <property fmtid="{D5CDD505-2E9C-101B-9397-08002B2CF9AE}" pid="3" name="ICV">
    <vt:lpwstr>5AB81801CE34C406F21B4F6ADCCBFBB6_41</vt:lpwstr>
  </property>
</Properties>
</file>