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44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color w:val="000000"/>
          <w:sz w:val="40"/>
          <w:szCs w:val="40"/>
        </w:rPr>
      </w:pPr>
      <w:bookmarkStart w:id="0" w:name="_GoBack"/>
      <w:r>
        <w:rPr>
          <w:color w:val="000000"/>
          <w:sz w:val="40"/>
          <w:szCs w:val="40"/>
        </w:rPr>
        <w:t>湖北省省级政务信息化项目建设方案编制指南</w:t>
      </w:r>
    </w:p>
    <w:bookmarkEnd w:id="0"/>
    <w:p w14:paraId="51AE21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前言</w:t>
      </w:r>
    </w:p>
    <w:p w14:paraId="7100A56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为规范省级政务信息化项目建设方案编制工作，落实《湖北省政务信息化项目建设管理办法》（鄂政办发〔2018〕43 号）、省数字政府建设总体要求，统筹集约建设、强化数据共享、规范投资概算、压实安全与密码应用责任，统一项目申报文本标准，提升财政资金使用绩效，特制定本指南。 本指南适用于省直各党政机关、事业单位使用财政资金新建、改扩建、运维类政务信息化项目建设方案（含初步设计代可研）编制；涉密信息化项目另行执行保密专项编制规范，不适用本指南。</w:t>
      </w:r>
    </w:p>
    <w:p w14:paraId="7D6D92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第一章 总则</w:t>
      </w:r>
    </w:p>
    <w:p w14:paraId="0B97C4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1.1 编制依据</w:t>
      </w:r>
    </w:p>
    <w:p w14:paraId="6E32669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国家层面 《国家政务信息化项目建设管理办法》（国办发〔2019〕57 号）、《政务信息系统整合共享实施方案》（国办发〔2017〕39 号）、《网络安全等级保护基本要求》、《商用密码应用与安全性评估管理办法》、数字政府建设、数据安全、个人信息保护相关法律法规。</w:t>
      </w:r>
    </w:p>
    <w:p w14:paraId="0FAB077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省级层面 《湖北省政务信息化项目建设管理办法》（鄂政办发〔2018〕43 号）、《湖北省政务信息资源共享管理办法》、湖北省数字政府总体规划、省级政务云管理规范、鄂财预发〔2023〕40 号省级信息化项目预算支出标准、全省政务信息化密码应用工作通知、省数据共享交换平台对接规范、信创适配相关政策文件。</w:t>
      </w:r>
    </w:p>
    <w:p w14:paraId="5ED67E8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行业与单位依据 本部门 “十五五” 数字化发展规划、年度信息化工作计划、行业垂直业务系统建设要求、单位现有信息化资产台账。</w:t>
      </w:r>
    </w:p>
    <w:p w14:paraId="54B894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1.2 编制基本原则</w:t>
      </w:r>
    </w:p>
    <w:p w14:paraId="0C933A1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统筹集约，上云优先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：严禁新建独立机房、服务器集群、私有云算力，所有业务系统统一部署省级政务云，存量系统限期迁移上云，杜绝基础设施重复投资。</w:t>
      </w:r>
    </w:p>
    <w:p w14:paraId="10C8C72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整合复用，共享优先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：充分复用省级统一支撑组件（统一身份认证、电子证照、电子印章、工作流、消息总线等）；必须编制数据共享目录，优先复用跨部门存量数据，禁止多头采集企业、群众材料。</w:t>
      </w:r>
    </w:p>
    <w:p w14:paraId="5F3B33A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业务驱动，流程再造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：以履职需求为核心，同步优化业务流程，实现减材料、减跑动、全程网办，杜绝重技术轻业务、重建设轻应用。</w:t>
      </w:r>
    </w:p>
    <w:p w14:paraId="600E95DB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安全同步，密码全覆盖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：安全、商用密码与业务系统同步规划、同步建设、同步验收；项目必须包含等保建设、密码应用专项内容，无相关章节不予通过技术审查。</w:t>
      </w:r>
    </w:p>
    <w:p w14:paraId="5DDD8BCE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信创适配，自主可控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：全栈适配国产化软硬件，新建系统优先选用信创数据库、中间件、服务器、终端，改造项目制定分阶段兼容替换方案。</w:t>
      </w:r>
    </w:p>
    <w:p w14:paraId="73D5D79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绩效量化，概算合规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：设置可量化业务、服务、成本绩效指标；投资概算严格执行省级信息化支出标准，不得超标准配置、虚列建设内容。</w:t>
      </w:r>
    </w:p>
    <w:p w14:paraId="525A2DAA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权责清晰，长效运维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：同步规划 3 年运维服务方案，明确运维主体、经费来源、运维内容、故障处置机制。</w:t>
      </w:r>
    </w:p>
    <w:p w14:paraId="05F7B76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1.3 建设方案主要用途</w:t>
      </w:r>
    </w:p>
    <w:p w14:paraId="02A2AF3B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向省数字政府建设领导小组办公室报送项目共享整合审查；</w:t>
      </w:r>
    </w:p>
    <w:p w14:paraId="303C2F1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作为省发改委立项、省财政预算评审、政府采购、项目实施、竣工验收、绩效评价的核心技术文件；</w:t>
      </w:r>
    </w:p>
    <w:p w14:paraId="3113C1E6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作为项目安全测评、商用密码应用安全性评估的基础依据。</w:t>
      </w:r>
    </w:p>
    <w:p w14:paraId="4121FF2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1.4 文本编制通用要求</w:t>
      </w:r>
    </w:p>
    <w:p w14:paraId="5629504B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结构完整：严格按照本指南规定章节撰写，不得缺项、漏项；</w:t>
      </w:r>
    </w:p>
    <w:p w14:paraId="2D5293B1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数据详实：现状、需求、概算、资源清单、共享目录全部使用表格量化表述；</w:t>
      </w:r>
    </w:p>
    <w:p w14:paraId="1CA5A69E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附图规范：总体架构图、网络拓扑图、数据交换流程图、功能模块图统一附文后；</w:t>
      </w:r>
    </w:p>
    <w:p w14:paraId="2FE51D31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禁止模糊表述：不得使用 “相关系统”“配套设备” 等笼统描述，软硬件、服务需列明规格、数量、单价；</w:t>
      </w:r>
    </w:p>
    <w:p w14:paraId="03EFE7B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篇幅控制：小型运维改造项目 30 页以内，中型业务系统 50–80 页，大型大数据平台不超过 120 页（不含附件台账）。</w:t>
      </w:r>
    </w:p>
    <w:p w14:paraId="12361C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第二章 项目总论（第一章，方案开篇核心）</w:t>
      </w:r>
    </w:p>
    <w:p w14:paraId="2BC194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2.1 项目基础信息</w:t>
      </w:r>
    </w:p>
    <w:p w14:paraId="24E378C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固定表格填报：项目名称、建设单位、主管部门、项目负责人及联系方式、建设周期、总投资概算、资金来源（省级专项 / 部门年度预算 / 转移支付）、实施地点、项目类型（新建 / 升级改造 / 运维服务 / 数据治理专项）、是否涉密、是否对接国家垂直系统。</w:t>
      </w:r>
    </w:p>
    <w:p w14:paraId="128A19E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2.2 建设背景与政策符合性</w:t>
      </w:r>
    </w:p>
    <w:p w14:paraId="59E111F9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宏观背景：数字政府、政务服务改革、行业监管、基层治理等国家、省级政策要求；</w:t>
      </w:r>
    </w:p>
    <w:p w14:paraId="1FA83AD8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单位现状背景：现有业务办理、数字化支撑短板，年度履职考核硬性数字化任务；</w:t>
      </w:r>
    </w:p>
    <w:p w14:paraId="29489FB9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政策符合性逐条说明：逐条对应鄂政办发〔2018〕43 号、省数字政府、数据共享、密码、等保、信创政策，说明项目如何落实相关要求。</w:t>
      </w:r>
    </w:p>
    <w:p w14:paraId="6ECE4F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2.3 项目建设必要性（三大维度论证）</w:t>
      </w:r>
    </w:p>
    <w:p w14:paraId="1F78CF30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履职刚需必要性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：法律法规、上级文件、年度考核明确要求建设数字化支撑能力，不建设将无法完成法定业务；</w:t>
      </w:r>
    </w:p>
    <w:p w14:paraId="077A93B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解决现存痛点必要性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：梳理现有系统烟囱化、数据孤岛、线下流程繁琐、安全不达标、未上云、重复采集、运维成本高等具体问题，逐条对应本项目解决路径；</w:t>
      </w:r>
    </w:p>
    <w:p w14:paraId="5BECC3B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集约整合共享必要性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：论证项目依托省级政务云、复用统一平台、打通跨部门数据，避免重复建设，节约财政资金。</w:t>
      </w:r>
    </w:p>
    <w:p w14:paraId="2167FEC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2.4 总体建设目标与量化绩效目标</w:t>
      </w:r>
    </w:p>
    <w:p w14:paraId="7A5A63CF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总体目标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：高度概括业务协同、数据共享、便民服务、安全可控、信创适配整体成效；</w:t>
      </w:r>
    </w:p>
    <w:p w14:paraId="28CD9C10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分维度量化绩效指标（财政评审硬性要求）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</w:p>
    <w:p w14:paraId="0A8E4E3D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业务效能指标：办件平均办理时长压缩比例、网办事项占比、减材料数量、跨部门协同办理频次；</w:t>
      </w:r>
    </w:p>
    <w:p w14:paraId="4D17B24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数据共享指标：对外共享数据目录条数、申请外部共享数据条数、数据实时交换覆盖率；</w:t>
      </w:r>
    </w:p>
    <w:p w14:paraId="25A57CC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系统运行指标：系统年可用率、并发承载用户数、平均响应时间；</w:t>
      </w:r>
    </w:p>
    <w:p w14:paraId="4025F83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服务满意度指标：企业群众线上办事满意度、基层单位使用满意度；</w:t>
      </w:r>
    </w:p>
    <w:p w14:paraId="05B99EE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成本节约指标：每年线下窗口人力节约、纸质材料耗材节约金额。</w:t>
      </w:r>
    </w:p>
    <w:p w14:paraId="572D887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2.5 项目建设范围与边界</w:t>
      </w:r>
    </w:p>
    <w:p w14:paraId="2362E28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包含内容：分系统开发、数据治理、云资源租赁、安全密码建设、软硬件购置、实施培训、三年运维；</w:t>
      </w:r>
    </w:p>
    <w:p w14:paraId="7F011DFA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排除内容：明确本项目不包含土建、机房新建、独立服务器集群、与本业务无关的通用办公软件等禁止建设内容；</w:t>
      </w:r>
    </w:p>
    <w:p w14:paraId="3559946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对接边界：横向对接省数据共享交换平台、省政务服务网；纵向对接国家部委、市县业务端口。</w:t>
      </w:r>
    </w:p>
    <w:p w14:paraId="14CFB4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2.6 现有信息化资产现状与短板分析</w:t>
      </w:r>
    </w:p>
    <w:p w14:paraId="1A09EE6A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存量资产台账表格：现有业务系统名称、建设年份、部署位置（本地 / 政务云）、数据库、服务器、使用年限、运维经费；</w:t>
      </w:r>
    </w:p>
    <w:p w14:paraId="206FF7FE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数据资源现状：现有业务数据存量、数据标准、跨部门互通情况；</w:t>
      </w:r>
    </w:p>
    <w:p w14:paraId="1F352E71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核心短板清单：分基础设施、业务应用、数据资源、网络安全、密码应用、信创适配 6 大类列明问题。</w:t>
      </w:r>
    </w:p>
    <w:p w14:paraId="4C6C470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2.7 同类项目建设借鉴（精简）</w:t>
      </w:r>
    </w:p>
    <w:p w14:paraId="61A32E0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简述省内同行业、省级同类政务信息化项目成熟经验，说明本项目吸收复用、差异化优化内容，无需大篇幅论述。</w:t>
      </w:r>
    </w:p>
    <w:p w14:paraId="0ABBCB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第三章 业务需求分析（方案核心评审章节）</w:t>
      </w:r>
    </w:p>
    <w:p w14:paraId="09B6D9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3.1 业务体系总体梳理</w:t>
      </w:r>
    </w:p>
    <w:p w14:paraId="123CB89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完整梳理本单位法定权责清单、对外政务服务事项、内部管理流程、跨部门协同场景、市县基层对接场景、监管决策场景，绘制整体业务流程图。</w:t>
      </w:r>
    </w:p>
    <w:p w14:paraId="6966E9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3.2 分类型用户需求</w:t>
      </w:r>
    </w:p>
    <w:p w14:paraId="10D93B6D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内部工作人员：业务经办、审核、审批、统计查询需求；</w:t>
      </w:r>
    </w:p>
    <w:p w14:paraId="71383551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外部服务对象：企业、群众线上申报、查询、反馈需求；</w:t>
      </w:r>
    </w:p>
    <w:p w14:paraId="55AA1AC7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协同单位：其他省直部门、市县主管单位数据调取、业务联办需求；</w:t>
      </w:r>
    </w:p>
    <w:p w14:paraId="7576F923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监管审计用户：纪检、财政、审计、大数据监管部门核查、溯源需求。</w:t>
      </w:r>
    </w:p>
    <w:p w14:paraId="50EBEF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3.3 业务流程数字化再造方案</w:t>
      </w:r>
    </w:p>
    <w:p w14:paraId="4780F8A6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原有线下流程堵点、重复材料、多窗口跑动问题清单；</w:t>
      </w:r>
    </w:p>
    <w:p w14:paraId="0DF66009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数字化优化流程：全程网办、并联审批、免提交纸质材料、数据自动核验改造路径；</w:t>
      </w:r>
    </w:p>
    <w:p w14:paraId="7145C70B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跨部门联办流程设计，依托省共享平台实现数据自动流转。</w:t>
      </w:r>
    </w:p>
    <w:p w14:paraId="243AEFF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3.4 数据需求专项清单（一票否决项）</w:t>
      </w:r>
    </w:p>
    <w:p w14:paraId="44B774B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3.4.1 本单位对外共享数据目录（表格）</w:t>
      </w:r>
    </w:p>
    <w:p w14:paraId="5F58621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字段：数据主题、数据项名称、共享类型（无条件 / 有条件 / 不予共享，不予共享需附法律法规依据）、更新频次、数据脱敏规则、共享接口方式。</w:t>
      </w:r>
    </w:p>
    <w:p w14:paraId="0F99EDF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3.4.2 需外部获取数据需求目录（表格）</w:t>
      </w:r>
    </w:p>
    <w:p w14:paraId="20967E8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字段：所需数据来源部门、数据项、使用场景、更新周期、调用频次、用途说明。</w:t>
      </w:r>
    </w:p>
    <w:p w14:paraId="2859D90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3.4.3 数据采集管控要求</w:t>
      </w:r>
    </w:p>
    <w:p w14:paraId="5F74083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严格落实 “一数一源”，禁止重复采集；能通过省共享平台获取的数据不得要求群众、基层单位线下提交；涉及公民个人信息、企业隐私数据必须制定脱敏、分级分类管控措施。</w:t>
      </w:r>
    </w:p>
    <w:p w14:paraId="589241B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3.5 功能需求清单</w:t>
      </w:r>
    </w:p>
    <w:p w14:paraId="21C68C0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分模块逐条列明，区分</w:t>
      </w:r>
      <w:r>
        <w:rPr>
          <w:rStyle w:val="8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基础管理、业务办理、统计分析、决策可视化、公众服务、数据接口、运维管理、安全审计、密码应用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九大模块，每条功能明确使用场景与实现效果，不使用模糊描述。</w:t>
      </w:r>
    </w:p>
    <w:p w14:paraId="2708E3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3.6 非功能需求</w:t>
      </w:r>
    </w:p>
    <w:p w14:paraId="39C7D42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性能需求：最大并发访问用户、页面响应时间、批量数据处理时效；</w:t>
      </w:r>
    </w:p>
    <w:p w14:paraId="260D3A3F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可用性需求：7×24 小时运行、年度停机维护时长上限；</w:t>
      </w:r>
    </w:p>
    <w:p w14:paraId="6B2AF802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存储需求：业务数据、附件、日志预估存储容量，3 年数据增量测算；</w:t>
      </w:r>
    </w:p>
    <w:p w14:paraId="74C4F8C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兼容性需求：全栈信创软硬件适配清单、浏览器、移动端适配要求；</w:t>
      </w:r>
    </w:p>
    <w:p w14:paraId="344FEA9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扩展性需求：未来 2–3 年业务扩容、新增协同部门接口预留方案。</w:t>
      </w:r>
    </w:p>
    <w:p w14:paraId="32CBCC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第四章 总体技术架构设计（必须符合湖北数字政府统一架构）</w:t>
      </w:r>
    </w:p>
    <w:p w14:paraId="055C5C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4.1 总体架构设计思路</w:t>
      </w:r>
    </w:p>
    <w:p w14:paraId="019EE9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严格遵循省级 “一云一网一平台” 总体框架：统一依托</w:t>
      </w:r>
      <w:r>
        <w:rPr>
          <w:rStyle w:val="8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省级政务云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Style w:val="8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电子政务外网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Style w:val="8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省数据共享交换平台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建设，不单独搭建底层基础设施、通用支撑平台。</w:t>
      </w:r>
    </w:p>
    <w:p w14:paraId="6046616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4.2 五层标准技术架构（附架构总图）</w:t>
      </w:r>
    </w:p>
    <w:p w14:paraId="0F8F979D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基础设施层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全部租用省级政务云算力、云数据库、对象存储、负载均衡、云带宽；本地仅配置办公终端、专用采集外设；列明云资源配置规格、租赁周期（统一按 3 年测算）；严禁自建机房、物理服务器。</w:t>
      </w:r>
    </w:p>
    <w:p w14:paraId="0536EFA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数据资源层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依托省共享交换平台构建业务主题库、基础业务库；统一执行湖北省政务数据标准；包含存量数据清洗、迁移、元数据管理、数据目录、脱敏、数据质量管控模块。</w:t>
      </w:r>
    </w:p>
    <w:p w14:paraId="3B1C7ED2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应用支撑层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全部复用省级统建公共组件：统一身份认证、单点登录、电子证照库、电子印章、统一支付、消息总线、工作流引擎、日志审计平台；禁止重复开发同类通用支撑工具。</w:t>
      </w:r>
    </w:p>
    <w:p w14:paraId="7759571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业务应用层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对应第三章功能需求，分子系统、功能模块分层设计，绘制功能模块结构图。</w:t>
      </w:r>
    </w:p>
    <w:p w14:paraId="27219581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000000"/>
          <w:sz w:val="32"/>
          <w:szCs w:val="32"/>
        </w:rPr>
        <w:t>安全保障层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一体化集成网络等保、商用密码、数据安全、运维审计、终端安全五大体系，独立成层，不依附业务模块。</w:t>
      </w:r>
    </w:p>
    <w:p w14:paraId="0E9749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4.3 系统集成对接方案</w:t>
      </w:r>
    </w:p>
    <w:p w14:paraId="43661DC7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横向集成：对接省数据共享交换平台、省政务服务网、省统一身份认证平台、省电子证照系统；列明接口清单、对接协议、数据交换频次；</w:t>
      </w:r>
    </w:p>
    <w:p w14:paraId="0B285D4C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纵向集成：国家部委垂直业务系统、市县业务对接通道；区分专线、外网共享平台两种对接方式；</w:t>
      </w:r>
    </w:p>
    <w:p w14:paraId="27B77ECA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内部集成：本单位存量系统数据迁移、接口互通方案。</w:t>
      </w:r>
    </w:p>
    <w:p w14:paraId="75A133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4.4 网络架构设计（附拓扑图）</w:t>
      </w:r>
    </w:p>
    <w:p w14:paraId="5FD28241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业务主通道：统一使用湖北省电子政务外网，互联网业务通过政务外网安全边界访问；</w:t>
      </w:r>
    </w:p>
    <w:p w14:paraId="495F5E25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内外网物理隔离，禁止内外网直接互通；</w:t>
      </w:r>
    </w:p>
    <w:p w14:paraId="5535A93C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涉密业务单独部署涉密内网，与政务外网完全物理隔离，分网运行说明；</w:t>
      </w:r>
    </w:p>
    <w:p w14:paraId="0D4B327A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云网络安全边界、访问控制策略设计。</w:t>
      </w:r>
    </w:p>
    <w:p w14:paraId="1F5F67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4.5 信创适配整体方案</w:t>
      </w:r>
    </w:p>
    <w:p w14:paraId="6EB0D9BF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全栈国产化适配清单：服务器芯片、操作系统、中间件、数据库、终端、办公软件；</w:t>
      </w:r>
    </w:p>
    <w:p w14:paraId="0594E050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新建系统：全部采用信创技术栈开发部署；</w:t>
      </w:r>
    </w:p>
    <w:p w14:paraId="321128C2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改造升级项目：现有非信创组件分阶段替换时间表、兼容改造工作量；</w:t>
      </w:r>
    </w:p>
    <w:p w14:paraId="1B85C920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信创测试、适配验收实施计划。</w:t>
      </w:r>
    </w:p>
    <w:p w14:paraId="492A35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第五章 项目建设内容与实施方案（概算编制直接依据）</w:t>
      </w:r>
    </w:p>
    <w:p w14:paraId="2CF791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 分类列明全部建设内容（表格量化）</w:t>
      </w:r>
    </w:p>
    <w:p w14:paraId="4C89C17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5.1.1 应用系统开发 / 升级改造</w:t>
      </w:r>
    </w:p>
    <w:p w14:paraId="132D1BB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各子系统开发内容、定制开发工作量、成熟成品软件采购范围，区分自研定制与标准化外购。</w:t>
      </w:r>
    </w:p>
    <w:p w14:paraId="56E1411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5.1.2 数据资源治理建设</w:t>
      </w:r>
    </w:p>
    <w:p w14:paraId="78BD3F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存量数据迁移、数据清洗比对、主题数据库建设、共享接口开发、数据目录编制、数据脱敏工具采购。</w:t>
      </w:r>
    </w:p>
    <w:p w14:paraId="325741F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5.1.3 省级政务云资源租赁</w:t>
      </w:r>
    </w:p>
    <w:p w14:paraId="1A3CC9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CPU 核数、内存、云硬盘、对象存储、云数据库、带宽、云防火墙、云堡垒机租赁明细，租赁周期 3 年。</w:t>
      </w:r>
    </w:p>
    <w:p w14:paraId="39BDBB7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5.1.4 软硬件设备购置（仅限终端外设）</w:t>
      </w:r>
    </w:p>
    <w:p w14:paraId="2A2156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台式机、笔记本、高拍仪、扫描仪、专用业务采集终端等，列明型号、数量、单价；服务器、存储设备不得购置。</w:t>
      </w:r>
    </w:p>
    <w:p w14:paraId="08FED3C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5.1.5 信息安全专项建设</w:t>
      </w:r>
    </w:p>
    <w:p w14:paraId="77CC938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等保测评整改、日志审计、堡垒机、数据加密网关、终端安全管理、漏洞扫描、安全运维服务。</w:t>
      </w:r>
    </w:p>
    <w:p w14:paraId="6C8887D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5.1.6 商用密码应用专项（独立小节，强制要求）</w:t>
      </w:r>
    </w:p>
    <w:p w14:paraId="1285A69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身份鉴别密码模块、传输加密、存储加密、电子签名验签、密码机 / 密码卡采购、密码应用安全性评估实施。</w:t>
      </w:r>
    </w:p>
    <w:p w14:paraId="2DDA8E5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5.1.7 实施、部署、培训服务</w:t>
      </w:r>
    </w:p>
    <w:p w14:paraId="5638586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云平台部署、历史数据割接、管理员培训、一线业务人员操作培训、上线试运行保障。</w:t>
      </w:r>
    </w:p>
    <w:p w14:paraId="1CBCFAD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5.1.8 三年期运行维护服务</w:t>
      </w:r>
    </w:p>
    <w:p w14:paraId="32E5FB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驻场运维、版本迭代更新、7×24 故障处置、季度安全巡检、定期数据备份、系统优化升级。</w:t>
      </w:r>
    </w:p>
    <w:p w14:paraId="485F8A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5.2 项目实施进度计划（甘特简表）</w:t>
      </w:r>
    </w:p>
    <w:p w14:paraId="4EDAA8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分 6 个标准阶段，明确各阶段工期：</w:t>
      </w:r>
    </w:p>
    <w:p w14:paraId="7271B02B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需求调研与详细设计；</w:t>
      </w:r>
    </w:p>
    <w:p w14:paraId="4FFB6146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系统开发、数据治理、软硬件采购；</w:t>
      </w:r>
    </w:p>
    <w:p w14:paraId="5C403854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云平台部署、内部测试；</w:t>
      </w:r>
    </w:p>
    <w:p w14:paraId="2982DF0B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等保测评、商用密码评估、安全整改；</w:t>
      </w:r>
    </w:p>
    <w:p w14:paraId="19DC6D2B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上线试运行（不少于 3 个月）；</w:t>
      </w:r>
    </w:p>
    <w:p w14:paraId="2FDDC408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竣工验收、资料归档。</w:t>
      </w:r>
    </w:p>
    <w:p w14:paraId="4783D0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5.3 项目组织实施保障</w:t>
      </w:r>
    </w:p>
    <w:p w14:paraId="18ADF248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建设单位项目管理小组职责；</w:t>
      </w:r>
    </w:p>
    <w:p w14:paraId="1C8F9690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承建单位人员配置要求（项目经理、开发、安全、密码专职人员）；</w:t>
      </w:r>
    </w:p>
    <w:p w14:paraId="28C253CD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第三方监理、测评机构选用要求；</w:t>
      </w:r>
    </w:p>
    <w:p w14:paraId="25635513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质量管控、变更管理机制。</w:t>
      </w:r>
    </w:p>
    <w:p w14:paraId="054279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第六章 数据共享与资源整合专项方案（技术审查一票否决章节）</w:t>
      </w:r>
    </w:p>
    <w:p w14:paraId="7F180A1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6.1 存量信息系统整合下线计划</w:t>
      </w:r>
    </w:p>
    <w:p w14:paraId="58A967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梳理单位现有孤立、老旧、重复系统，制定迁移上云、关停下线时间表，明确下线时限、数据迁移路径，杜绝新增信息烟囱。</w:t>
      </w:r>
    </w:p>
    <w:p w14:paraId="12F372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6.2 数据共享交换落地机制</w:t>
      </w:r>
    </w:p>
    <w:p w14:paraId="7FCCDE60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所有跨部门数据交换统一通过省数据共享交换平台，禁止点对点专线直连；</w:t>
      </w:r>
    </w:p>
    <w:p w14:paraId="0C146A60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共享数据实时 / 批量交换模式、API 接口规范遵循省级统一标准；</w:t>
      </w:r>
    </w:p>
    <w:p w14:paraId="0DE784A0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数据共享目录动态更新机制，每季度更新数据供需清单。</w:t>
      </w:r>
    </w:p>
    <w:p w14:paraId="645F350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6.3 数据安全与个人信息保护配套措施</w:t>
      </w:r>
    </w:p>
    <w:p w14:paraId="14D02CA8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数据分级分类管理，敏感数据全流程脱敏；</w:t>
      </w:r>
    </w:p>
    <w:p w14:paraId="52273DC4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数据调取审批流程、操作全程留痕审计；</w:t>
      </w:r>
    </w:p>
    <w:p w14:paraId="05C4410B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公民、企业隐私数据存储、传输最小化采集规则；</w:t>
      </w:r>
    </w:p>
    <w:p w14:paraId="15BBBE89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数据泄露应急处置流程。</w:t>
      </w:r>
    </w:p>
    <w:p w14:paraId="0E49DD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第七章 信息安全与商用密码保障方案（独立完整章节）</w:t>
      </w:r>
    </w:p>
    <w:p w14:paraId="2EE98C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7.1 网络安全等级保护建设方案</w:t>
      </w:r>
    </w:p>
    <w:p w14:paraId="3A85185B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明确项目对应等保级别（二级 / 三级）；</w:t>
      </w:r>
    </w:p>
    <w:p w14:paraId="031EAE2B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现有安全短板整改清单、新增安全设备 / 服务建设内容；</w:t>
      </w:r>
    </w:p>
    <w:p w14:paraId="371E7148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第三方等保测评实施时间、年度复测长效机制；</w:t>
      </w:r>
    </w:p>
    <w:p w14:paraId="253EEC5D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云平台安全责任划分（云服务商基础安全 + 本单位业务安全）。</w:t>
      </w:r>
    </w:p>
    <w:p w14:paraId="4842B45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7.2 商用密码应用全场景实施方案（省政数局重点审核）</w:t>
      </w:r>
    </w:p>
    <w:p w14:paraId="7D37F6E0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密码应用覆盖场景：用户登录身份鉴别、前后端传输加密、业务数据库存储加密、电子文书签名、操作日志防篡改；</w:t>
      </w:r>
    </w:p>
    <w:p w14:paraId="0E94345A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密码设备清单：商用密码服务器、加密机、密码卡等；</w:t>
      </w:r>
    </w:p>
    <w:p w14:paraId="192D3730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密码管理制度：密钥生成、存储、更换、销毁流程；</w:t>
      </w:r>
    </w:p>
    <w:p w14:paraId="47562314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商用密码应用安全性评估实施计划，验收前完成评估整改。</w:t>
      </w:r>
    </w:p>
    <w:p w14:paraId="02AA6F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7.3 数据备份与灾难恢复方案</w:t>
      </w:r>
    </w:p>
    <w:p w14:paraId="4D2923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依托省级政务云统一灾备体系，制定本地数据定期备份策略、异地备份周期；明确系统宕机、数据丢失应急恢复流程、恢复时效指标。</w:t>
      </w:r>
    </w:p>
    <w:p w14:paraId="7E9475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7.4 网络安全应急管理</w:t>
      </w:r>
    </w:p>
    <w:p w14:paraId="20D0F0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制定网络攻击、数据泄露、系统瘫痪三类应急预案，明确处置流程、责任人员、上报路径；年度安全演练计划。</w:t>
      </w:r>
    </w:p>
    <w:p w14:paraId="6546D6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7.5 人员与终端安全管理制度</w:t>
      </w:r>
    </w:p>
    <w:p w14:paraId="4B913B9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账号分级权限管理、离岗人员权限注销、终端安全准入、内外网终端隔离、操作审计制度。</w:t>
      </w:r>
    </w:p>
    <w:p w14:paraId="4FE3B6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第八章 投资概算与资金筹措</w:t>
      </w:r>
    </w:p>
    <w:p w14:paraId="503ADC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8.1 概算编制依据</w:t>
      </w:r>
    </w:p>
    <w:p w14:paraId="17D6B80E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《湖北省省级办公房维修等省级通用项目预算支出标准》（鄂财预发〔2023〕40 号）；</w:t>
      </w:r>
    </w:p>
    <w:p w14:paraId="4E7E2C39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政务云官方公开租赁报价、信息化软件开发行业定额；</w:t>
      </w:r>
    </w:p>
    <w:p w14:paraId="20DE0BCE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安全测评、密码评估、运维服务省级收费指导标准；</w:t>
      </w:r>
    </w:p>
    <w:p w14:paraId="39A92082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政府采购相关价格管理规定。</w:t>
      </w:r>
    </w:p>
    <w:p w14:paraId="4A57BB8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8.2 总投资概算明细（标准表格）</w:t>
      </w:r>
    </w:p>
    <w:p w14:paraId="61E69EE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按第五章建设内容分类列示：云资源租赁费、软件开发费、软硬件购置费、安全建设费、密码专项费、实施培训费、三年运维服务费，分单价、数量、合价、测算依据。</w:t>
      </w:r>
    </w:p>
    <w:p w14:paraId="03519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8.3 资金筹措方案</w:t>
      </w:r>
    </w:p>
    <w:p w14:paraId="66FED8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明确全部资金为省级财政预算资金，分年度资金安排计划（建设当年、后续两年运维资金），无自筹资金、社会资本配套需单独说明。</w:t>
      </w:r>
    </w:p>
    <w:p w14:paraId="6439A36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8.4 概算合规性说明</w:t>
      </w:r>
    </w:p>
    <w:p w14:paraId="55761F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逐条说明各项投资未超省级支出标准，无重复列支、无超标准高端设备、无违规机房建设投资。</w:t>
      </w:r>
    </w:p>
    <w:p w14:paraId="338E06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第九章 项目绩效评价方案</w:t>
      </w:r>
    </w:p>
    <w:p w14:paraId="47803BE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9.1 绩效目标细化</w:t>
      </w:r>
    </w:p>
    <w:p w14:paraId="2785062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对应第二章量化绩效指标，分解年度绩效目标，区分产出指标、效益指标、满意度指标。</w:t>
      </w:r>
    </w:p>
    <w:p w14:paraId="740452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9.2 绩效监控机制</w:t>
      </w:r>
    </w:p>
    <w:p w14:paraId="5FAD9B3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项目建设期月度进度监控、试运行期季度数据统计、运维期年度绩效自评。</w:t>
      </w:r>
    </w:p>
    <w:p w14:paraId="2F8114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9.3 绩效评价实施</w:t>
      </w:r>
    </w:p>
    <w:p w14:paraId="28DD08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竣工验收同步开展绩效初评；项目投运后每年配合财政、大数据部门开展绩效评价，绩效不达标按要求缩减运维经费。</w:t>
      </w:r>
    </w:p>
    <w:p w14:paraId="7777D2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第十章 项目实施保障措施</w:t>
      </w:r>
    </w:p>
    <w:p w14:paraId="4FC4E88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10.1 组织保障</w:t>
      </w:r>
    </w:p>
    <w:p w14:paraId="05E65D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成立单位主要领导牵头项目工作专班，明确业务、财务、信息化、保密岗位分工。</w:t>
      </w:r>
    </w:p>
    <w:p w14:paraId="47B912D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10.2 制度保障</w:t>
      </w:r>
    </w:p>
    <w:p w14:paraId="56D73F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配套项目变更管理、数据共享管理、安全运维、密码使用、资产台账管理制度。</w:t>
      </w:r>
    </w:p>
    <w:p w14:paraId="1FED9D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10.3 资金保障</w:t>
      </w:r>
    </w:p>
    <w:p w14:paraId="6F66AD5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预算足额保障建设与三年运维经费，建立资金专款专用、支付审核机制。</w:t>
      </w:r>
    </w:p>
    <w:p w14:paraId="7B4CA9E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10.4 人才保障</w:t>
      </w:r>
    </w:p>
    <w:p w14:paraId="32B235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固定信息化管理员、业务专职对接人员，定期参加省数字政府、密码、数据共享培训。</w:t>
      </w:r>
    </w:p>
    <w:p w14:paraId="14E3A2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10.5 考核监督保障</w:t>
      </w:r>
    </w:p>
    <w:p w14:paraId="5E08841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项目建设纳入单位年度数字化考核，接受省数字政府办、发改、财政、审计全程监督。</w:t>
      </w:r>
    </w:p>
    <w:p w14:paraId="77D60B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第十一章 附件（必备支撑材料）</w:t>
      </w:r>
    </w:p>
    <w:p w14:paraId="4E67B8AF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项目总体架构图、网络拓扑图、业务流程图；</w:t>
      </w:r>
    </w:p>
    <w:p w14:paraId="1E9A4FCC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现有信息化资产台账；</w:t>
      </w:r>
    </w:p>
    <w:p w14:paraId="1907F2B7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数据共享供需目录完整表格；</w:t>
      </w:r>
    </w:p>
    <w:p w14:paraId="67DED073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软硬件、云资源、服务概算明细清单；</w:t>
      </w:r>
    </w:p>
    <w:p w14:paraId="0FAF0B4B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存量系统整合下线计划表；</w:t>
      </w:r>
    </w:p>
    <w:p w14:paraId="4D19B32E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等保、商用密码建设内容清单；</w:t>
      </w:r>
    </w:p>
    <w:p w14:paraId="69585229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单位信息化规划、相关政策文件复印件；</w:t>
      </w:r>
    </w:p>
    <w:p w14:paraId="2ED756E8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其他佐证材料（业务需求调研纪要、行业文件等）。</w:t>
      </w:r>
    </w:p>
    <w:p w14:paraId="1100C0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659ED"/>
    <w:multiLevelType w:val="multilevel"/>
    <w:tmpl w:val="838659E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84CBA3D2"/>
    <w:multiLevelType w:val="multilevel"/>
    <w:tmpl w:val="84CBA3D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853E1D63"/>
    <w:multiLevelType w:val="multilevel"/>
    <w:tmpl w:val="853E1D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8B313CA3"/>
    <w:multiLevelType w:val="multilevel"/>
    <w:tmpl w:val="8B313C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942930E7"/>
    <w:multiLevelType w:val="multilevel"/>
    <w:tmpl w:val="942930E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A05DB6A7"/>
    <w:multiLevelType w:val="multilevel"/>
    <w:tmpl w:val="A05DB6A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A896CD29"/>
    <w:multiLevelType w:val="multilevel"/>
    <w:tmpl w:val="A896CD2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C1207428"/>
    <w:multiLevelType w:val="multilevel"/>
    <w:tmpl w:val="C120742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EA61E368"/>
    <w:multiLevelType w:val="multilevel"/>
    <w:tmpl w:val="EA61E36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F8770EB6"/>
    <w:multiLevelType w:val="multilevel"/>
    <w:tmpl w:val="F8770E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0026FF84"/>
    <w:multiLevelType w:val="multilevel"/>
    <w:tmpl w:val="0026FF8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00C52953"/>
    <w:multiLevelType w:val="multilevel"/>
    <w:tmpl w:val="00C5295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0707FC82"/>
    <w:multiLevelType w:val="multilevel"/>
    <w:tmpl w:val="0707FC8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0C0BC21B"/>
    <w:multiLevelType w:val="multilevel"/>
    <w:tmpl w:val="0C0BC21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>
    <w:nsid w:val="128FB0FF"/>
    <w:multiLevelType w:val="multilevel"/>
    <w:tmpl w:val="128FB0F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>
    <w:nsid w:val="2798EECC"/>
    <w:multiLevelType w:val="multilevel"/>
    <w:tmpl w:val="2798EE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6">
    <w:nsid w:val="2872C673"/>
    <w:multiLevelType w:val="multilevel"/>
    <w:tmpl w:val="2872C67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7">
    <w:nsid w:val="2FC02883"/>
    <w:multiLevelType w:val="multilevel"/>
    <w:tmpl w:val="2FC0288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8">
    <w:nsid w:val="393BA2A3"/>
    <w:multiLevelType w:val="multilevel"/>
    <w:tmpl w:val="393BA2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9">
    <w:nsid w:val="3F84E517"/>
    <w:multiLevelType w:val="multilevel"/>
    <w:tmpl w:val="3F84E51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0">
    <w:nsid w:val="4C55ADEF"/>
    <w:multiLevelType w:val="multilevel"/>
    <w:tmpl w:val="4C55ADE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1">
    <w:nsid w:val="614E6A9A"/>
    <w:multiLevelType w:val="multilevel"/>
    <w:tmpl w:val="614E6A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2">
    <w:nsid w:val="62EB733D"/>
    <w:multiLevelType w:val="multilevel"/>
    <w:tmpl w:val="62EB733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3">
    <w:nsid w:val="6DE2D9C1"/>
    <w:multiLevelType w:val="multilevel"/>
    <w:tmpl w:val="6DE2D9C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1"/>
  </w:num>
  <w:num w:numId="2">
    <w:abstractNumId w:val="10"/>
  </w:num>
  <w:num w:numId="3">
    <w:abstractNumId w:val="17"/>
  </w:num>
  <w:num w:numId="4">
    <w:abstractNumId w:val="14"/>
  </w:num>
  <w:num w:numId="5">
    <w:abstractNumId w:val="8"/>
  </w:num>
  <w:num w:numId="6">
    <w:abstractNumId w:val="22"/>
  </w:num>
  <w:num w:numId="7">
    <w:abstractNumId w:val="6"/>
  </w:num>
  <w:num w:numId="8">
    <w:abstractNumId w:val="3"/>
  </w:num>
  <w:num w:numId="9">
    <w:abstractNumId w:val="16"/>
  </w:num>
  <w:num w:numId="10">
    <w:abstractNumId w:val="20"/>
  </w:num>
  <w:num w:numId="11">
    <w:abstractNumId w:val="15"/>
  </w:num>
  <w:num w:numId="12">
    <w:abstractNumId w:val="5"/>
  </w:num>
  <w:num w:numId="13">
    <w:abstractNumId w:val="9"/>
  </w:num>
  <w:num w:numId="14">
    <w:abstractNumId w:val="4"/>
  </w:num>
  <w:num w:numId="15">
    <w:abstractNumId w:val="19"/>
  </w:num>
  <w:num w:numId="16">
    <w:abstractNumId w:val="18"/>
  </w:num>
  <w:num w:numId="17">
    <w:abstractNumId w:val="13"/>
  </w:num>
  <w:num w:numId="18">
    <w:abstractNumId w:val="2"/>
  </w:num>
  <w:num w:numId="19">
    <w:abstractNumId w:val="12"/>
  </w:num>
  <w:num w:numId="20">
    <w:abstractNumId w:val="7"/>
  </w:num>
  <w:num w:numId="21">
    <w:abstractNumId w:val="0"/>
  </w:num>
  <w:num w:numId="22">
    <w:abstractNumId w:val="23"/>
  </w:num>
  <w:num w:numId="23">
    <w:abstractNumId w:val="2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3649E35"/>
    <w:rsid w:val="B3649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2026-07-09T13:21:00Z</dcterms:created>
  <dc:creator>sr</dc:creator>
  <cp:lastModifiedBy>sr</cp:lastModifiedBy>
  <dcterms:modified xsi:type="dcterms:W3CDTF">2026-07-09T13:30:04Z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3DBC32B794007310DB2F4F6AC01B12F2_41</vt:lpwstr>
  </property>
</Properties>
</file>